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0A3" w:rsidRDefault="00EE40A3" w:rsidP="00EE40A3">
      <w:pPr>
        <w:jc w:val="center"/>
        <w:rPr>
          <w:rFonts w:ascii="Trebuchet MS" w:hAnsi="Trebuchet MS"/>
          <w:b/>
        </w:rPr>
      </w:pPr>
      <w:r>
        <w:rPr>
          <w:noProof/>
          <w:lang w:bidi="ar-SA"/>
        </w:rPr>
        <w:drawing>
          <wp:anchor distT="0" distB="0" distL="114300" distR="114300" simplePos="0" relativeHeight="251659264" behindDoc="0" locked="0" layoutInCell="1" allowOverlap="1" wp14:anchorId="54D03386" wp14:editId="52556E53">
            <wp:simplePos x="0" y="0"/>
            <wp:positionH relativeFrom="column">
              <wp:posOffset>1210310</wp:posOffset>
            </wp:positionH>
            <wp:positionV relativeFrom="paragraph">
              <wp:posOffset>-523240</wp:posOffset>
            </wp:positionV>
            <wp:extent cx="3524250" cy="685800"/>
            <wp:effectExtent l="0" t="0" r="0" b="0"/>
            <wp:wrapNone/>
            <wp:docPr id="1" name="Picture 1" descr="Central logo_daily u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ntral logo_daily us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24250"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94D35" w:rsidRDefault="00894D35" w:rsidP="00EE40A3">
      <w:pPr>
        <w:jc w:val="center"/>
        <w:rPr>
          <w:rFonts w:ascii="Trebuchet MS" w:hAnsi="Trebuchet MS"/>
          <w:b/>
          <w:sz w:val="28"/>
        </w:rPr>
      </w:pPr>
    </w:p>
    <w:p w:rsidR="00EE40A3" w:rsidRDefault="00EE40A3" w:rsidP="00EE40A3">
      <w:pPr>
        <w:jc w:val="center"/>
        <w:rPr>
          <w:rFonts w:ascii="Trebuchet MS" w:hAnsi="Trebuchet MS"/>
          <w:b/>
          <w:sz w:val="28"/>
        </w:rPr>
      </w:pPr>
      <w:r>
        <w:rPr>
          <w:rFonts w:ascii="Trebuchet MS" w:hAnsi="Trebuchet MS"/>
          <w:b/>
          <w:sz w:val="28"/>
        </w:rPr>
        <w:t>Program CENTRAL EUROPE 2020</w:t>
      </w:r>
    </w:p>
    <w:p w:rsidR="00EE40A3" w:rsidRPr="00EC032A" w:rsidRDefault="00EE40A3" w:rsidP="00EE40A3">
      <w:pPr>
        <w:jc w:val="center"/>
        <w:rPr>
          <w:rFonts w:ascii="Trebuchet MS" w:hAnsi="Trebuchet MS"/>
          <w:b/>
          <w:sz w:val="24"/>
        </w:rPr>
      </w:pPr>
      <w:r>
        <w:rPr>
          <w:rFonts w:ascii="Trebuchet MS" w:hAnsi="Trebuchet MS"/>
          <w:b/>
          <w:sz w:val="24"/>
        </w:rPr>
        <w:t>Příloha č. 02: Glosář</w:t>
      </w:r>
    </w:p>
    <w:p w:rsidR="008869B1" w:rsidRDefault="008869B1" w:rsidP="00EE40A3">
      <w:pPr>
        <w:jc w:val="center"/>
        <w:rPr>
          <w:rFonts w:ascii="Trebuchet MS" w:hAnsi="Trebuchet MS"/>
          <w:b/>
          <w:sz w:val="22"/>
        </w:rPr>
      </w:pPr>
    </w:p>
    <w:p w:rsidR="005E7D36" w:rsidRDefault="005E7D36" w:rsidP="00EE40A3">
      <w:pPr>
        <w:jc w:val="center"/>
        <w:rPr>
          <w:rFonts w:ascii="Trebuchet MS" w:hAnsi="Trebuchet MS"/>
          <w:b/>
          <w:sz w:val="22"/>
        </w:rPr>
      </w:pPr>
    </w:p>
    <w:p w:rsidR="00DC6868" w:rsidRDefault="00DC6868" w:rsidP="00DC6868">
      <w:pPr>
        <w:jc w:val="left"/>
        <w:rPr>
          <w:rFonts w:ascii="Trebuchet MS" w:hAnsi="Trebuchet MS"/>
          <w:b/>
          <w:sz w:val="22"/>
        </w:rPr>
      </w:pPr>
      <w:r>
        <w:rPr>
          <w:rFonts w:ascii="Trebuchet MS" w:hAnsi="Trebuchet MS"/>
          <w:b/>
          <w:sz w:val="22"/>
        </w:rPr>
        <w:t>Příjemci</w:t>
      </w:r>
    </w:p>
    <w:p w:rsidR="00DC6868" w:rsidRPr="003B0EC1" w:rsidRDefault="003B0EC1" w:rsidP="00D87BC3">
      <w:pPr>
        <w:rPr>
          <w:rFonts w:ascii="Trebuchet MS" w:eastAsiaTheme="minorHAnsi" w:hAnsi="Trebuchet MS" w:cstheme="minorBidi"/>
          <w:szCs w:val="22"/>
        </w:rPr>
      </w:pPr>
      <w:r>
        <w:rPr>
          <w:rFonts w:ascii="Trebuchet MS" w:eastAsiaTheme="minorHAnsi" w:hAnsi="Trebuchet MS" w:cstheme="minorBidi"/>
        </w:rPr>
        <w:t>Příjemcem je veřejný nebo soukromý subjekt odpovědný za inicializaci, popř. jak za inicializaci, tak i za implementaci operací (podle čl. 2, odst. 10 nařízení o obecných ustanoveních), který čerpá prostředky z rozpočtu programu.</w:t>
      </w:r>
    </w:p>
    <w:p w:rsidR="00DC6868" w:rsidRDefault="00DC6868" w:rsidP="00DC6868">
      <w:pPr>
        <w:jc w:val="left"/>
        <w:rPr>
          <w:rFonts w:ascii="Trebuchet MS" w:hAnsi="Trebuchet MS"/>
          <w:b/>
          <w:sz w:val="22"/>
        </w:rPr>
      </w:pPr>
      <w:r>
        <w:rPr>
          <w:rFonts w:ascii="Trebuchet MS" w:hAnsi="Trebuchet MS"/>
          <w:b/>
          <w:sz w:val="22"/>
        </w:rPr>
        <w:t>Kapacity</w:t>
      </w:r>
    </w:p>
    <w:p w:rsidR="00A80FB6" w:rsidRDefault="00A80FB6" w:rsidP="00D87BC3">
      <w:pPr>
        <w:rPr>
          <w:rFonts w:ascii="Trebuchet MS" w:hAnsi="Trebuchet MS"/>
          <w:bCs/>
        </w:rPr>
      </w:pPr>
      <w:r>
        <w:rPr>
          <w:rFonts w:ascii="Trebuchet MS" w:hAnsi="Trebuchet MS"/>
        </w:rPr>
        <w:t>Kapacity je třeba chápat jako spojení veškerých sil, vlastností a zdrojů dostupných v rámci komunity, společenství nebo organizace, kterých lze využít k dosažení schválených cílů (Mezinárodní strategie OSN pro omezování důsledků katastrof /UNISDR/, 2009: Terminologie). Jsou tvořeny prováděcí politikou, právním a institucionálním prostředím včetně rozvoje lidských zdrojů a příslušných řídících systémů. Kapacity mohou zahrnovat infrastrukturu a fyzické prostředky, instituce, schopnosti fungování v rámci společnosti, jakož i lidské znalosti, dovednosti a kolektivní vlastnosti jako společenské vztahy, vůdčí a řídicí schopnosti.</w:t>
      </w:r>
    </w:p>
    <w:p w:rsidR="00F0204D" w:rsidRDefault="00F0204D" w:rsidP="00F0204D">
      <w:pPr>
        <w:jc w:val="left"/>
        <w:rPr>
          <w:rFonts w:ascii="Trebuchet MS" w:hAnsi="Trebuchet MS"/>
          <w:b/>
          <w:sz w:val="22"/>
        </w:rPr>
      </w:pPr>
      <w:r>
        <w:rPr>
          <w:rFonts w:ascii="Trebuchet MS" w:hAnsi="Trebuchet MS"/>
          <w:b/>
          <w:sz w:val="22"/>
        </w:rPr>
        <w:t>Koordinace</w:t>
      </w:r>
    </w:p>
    <w:p w:rsidR="00F0204D" w:rsidRPr="00F0204D" w:rsidRDefault="00F0204D" w:rsidP="00F0204D">
      <w:pPr>
        <w:rPr>
          <w:rFonts w:ascii="Trebuchet MS" w:hAnsi="Trebuchet MS"/>
          <w:bCs/>
        </w:rPr>
      </w:pPr>
      <w:r>
        <w:rPr>
          <w:rFonts w:ascii="Trebuchet MS" w:hAnsi="Trebuchet MS"/>
        </w:rPr>
        <w:t>Koordinací se rozumí synchronizace a integrace činností, povinností a řídicích a kontrolních struktur, které zajišťují co možná nejefektivnější vynakládání zdrojů ke splnění stanovených cílů.</w:t>
      </w:r>
    </w:p>
    <w:p w:rsidR="00DC6868" w:rsidRPr="00DC6868" w:rsidRDefault="00DC6868" w:rsidP="00DC6868">
      <w:pPr>
        <w:jc w:val="left"/>
        <w:rPr>
          <w:rFonts w:ascii="Trebuchet MS" w:hAnsi="Trebuchet MS"/>
          <w:b/>
          <w:sz w:val="22"/>
        </w:rPr>
      </w:pPr>
      <w:r>
        <w:rPr>
          <w:rFonts w:ascii="Trebuchet MS" w:hAnsi="Trebuchet MS"/>
          <w:b/>
          <w:sz w:val="22"/>
        </w:rPr>
        <w:t xml:space="preserve">Kreativní odvětví </w:t>
      </w:r>
    </w:p>
    <w:p w:rsidR="00DC6868" w:rsidRDefault="00DC6868" w:rsidP="00DC6868">
      <w:pPr>
        <w:rPr>
          <w:rFonts w:ascii="Trebuchet MS" w:hAnsi="Trebuchet MS"/>
          <w:bCs/>
        </w:rPr>
      </w:pPr>
      <w:r>
        <w:rPr>
          <w:rFonts w:ascii="Trebuchet MS" w:hAnsi="Trebuchet MS"/>
        </w:rPr>
        <w:t xml:space="preserve">Jedná se o odvětví, která využívají kulturu jako vstupní veličinu a mají kulturní rozměr, ačkoli jejich výstupy jsou většinou praktické. Patří sem architektura a design, které začleňují kreativní prvky do širších procesů, jakož i dílčí odvětví jako např. grafický design, módní design nebo reklama (Pracovní skupina expertů členských států EU (otevřený způsob koordinace) pro kulturní a kreativní odvětví, 2012: Manuál politiky). </w:t>
      </w:r>
    </w:p>
    <w:p w:rsidR="00B30977" w:rsidRPr="00DC6868" w:rsidRDefault="00B30977" w:rsidP="00B30977">
      <w:pPr>
        <w:jc w:val="left"/>
        <w:rPr>
          <w:rFonts w:ascii="Trebuchet MS" w:hAnsi="Trebuchet MS"/>
          <w:b/>
          <w:sz w:val="22"/>
        </w:rPr>
      </w:pPr>
      <w:r>
        <w:rPr>
          <w:rFonts w:ascii="Trebuchet MS" w:hAnsi="Trebuchet MS"/>
          <w:b/>
          <w:sz w:val="22"/>
        </w:rPr>
        <w:t>Kulturní dědictví a zdroje</w:t>
      </w:r>
    </w:p>
    <w:p w:rsidR="00B30977" w:rsidRDefault="00B30977" w:rsidP="00B30977">
      <w:pPr>
        <w:spacing w:before="120" w:after="120"/>
        <w:rPr>
          <w:rFonts w:ascii="Trebuchet MS" w:hAnsi="Trebuchet MS"/>
          <w:bCs/>
        </w:rPr>
      </w:pPr>
      <w:r>
        <w:rPr>
          <w:rFonts w:ascii="Trebuchet MS" w:hAnsi="Trebuchet MS"/>
        </w:rPr>
        <w:t>Kulturní dědictví sestává z hmotného dědictví včetně budov a historických lokalit, památníků apod.</w:t>
      </w:r>
      <w:r>
        <w:rPr>
          <w:rFonts w:ascii="Trebuchet MS" w:hAnsi="Trebuchet MS"/>
          <w:vertAlign w:val="superscript"/>
        </w:rPr>
        <w:footnoteReference w:id="1"/>
      </w:r>
      <w:r>
        <w:rPr>
          <w:rFonts w:ascii="Trebuchet MS" w:hAnsi="Trebuchet MS"/>
        </w:rPr>
        <w:t xml:space="preserve"> a nehmotného kulturního dědictví, které sestává z postupů, ztvárnění, vyjádření, znalostí, dovedností apod. (UNESCO 2003: Úmluva o zachování nehmotného kulturního dědictví).</w:t>
      </w:r>
    </w:p>
    <w:p w:rsidR="00B30977" w:rsidRDefault="00B30977" w:rsidP="00B30977">
      <w:pPr>
        <w:rPr>
          <w:rFonts w:ascii="Trebuchet MS" w:hAnsi="Trebuchet MS"/>
          <w:bCs/>
        </w:rPr>
      </w:pPr>
      <w:r>
        <w:rPr>
          <w:rFonts w:ascii="Trebuchet MS" w:hAnsi="Trebuchet MS"/>
        </w:rPr>
        <w:t>Kulturní zdroje obsahují oba prvky, hmotné a nehmotné kulturní dědictví zahrnující současnou kulturu včetně progresivní, inovativní a městské kultury. Tyto zdroje lze zhodnotit mj. v rámci kulturních a kreativních odvětví.</w:t>
      </w:r>
    </w:p>
    <w:p w:rsidR="00DC6868" w:rsidRPr="00DC6868" w:rsidRDefault="00DC6868" w:rsidP="00DC6868">
      <w:pPr>
        <w:jc w:val="left"/>
        <w:rPr>
          <w:rFonts w:ascii="Trebuchet MS" w:hAnsi="Trebuchet MS"/>
          <w:b/>
          <w:sz w:val="22"/>
        </w:rPr>
      </w:pPr>
      <w:r>
        <w:rPr>
          <w:rFonts w:ascii="Trebuchet MS" w:hAnsi="Trebuchet MS"/>
          <w:b/>
          <w:sz w:val="22"/>
        </w:rPr>
        <w:lastRenderedPageBreak/>
        <w:t>Kulturní odvětví</w:t>
      </w:r>
    </w:p>
    <w:p w:rsidR="00DC6868" w:rsidRDefault="00DC6868" w:rsidP="00DC6868">
      <w:pPr>
        <w:rPr>
          <w:rFonts w:ascii="Trebuchet MS" w:hAnsi="Trebuchet MS"/>
          <w:bCs/>
        </w:rPr>
      </w:pPr>
      <w:r>
        <w:rPr>
          <w:rFonts w:ascii="Trebuchet MS" w:hAnsi="Trebuchet MS"/>
        </w:rPr>
        <w:t>Jedná se o odvětví, která produkují a distribuují zboží nebo služby, u nichž se má za to, že v okamžiku svého vzniku mají specifické vlastnosti, způsob použití nebo účel, který ztělesňuje nebo zprostředkuje kulturní vyjádření bez ohledu na případnou komerční hodnotu. Kromě tradičních uměleckých sektorů (divadelní umění, vizuální umění, kulturní dědictví – včetně veřejného sektoru) spadají do této kategorie rovněž filmy, DVD a video, televize a rozhlas, videohry, nová média, hudba, knihy a tiskoviny (Pracovní skupina expertů členských států EU (otevřený způsob koordinace) pro kulturní a kreativní odvětví, 2012: Manuál politiky).</w:t>
      </w:r>
    </w:p>
    <w:p w:rsidR="00C333EC" w:rsidRPr="00A36519" w:rsidRDefault="00C333EC" w:rsidP="00C333EC">
      <w:pPr>
        <w:jc w:val="left"/>
        <w:rPr>
          <w:rFonts w:ascii="Trebuchet MS" w:hAnsi="Trebuchet MS"/>
          <w:b/>
          <w:sz w:val="22"/>
        </w:rPr>
      </w:pPr>
      <w:r>
        <w:rPr>
          <w:rFonts w:ascii="Trebuchet MS" w:hAnsi="Trebuchet MS"/>
          <w:b/>
          <w:sz w:val="22"/>
        </w:rPr>
        <w:t>Energetická účinnost</w:t>
      </w:r>
    </w:p>
    <w:p w:rsidR="00C333EC" w:rsidRPr="00C333EC" w:rsidRDefault="00C333EC" w:rsidP="00C333EC">
      <w:pPr>
        <w:rPr>
          <w:rFonts w:ascii="Trebuchet MS" w:hAnsi="Trebuchet MS"/>
          <w:bCs/>
        </w:rPr>
      </w:pPr>
      <w:r>
        <w:rPr>
          <w:rFonts w:ascii="Trebuchet MS" w:hAnsi="Trebuchet MS"/>
        </w:rPr>
        <w:t>Zvyšování energetické účinnosti odkazuje ke snižování spotřeby energie v příslušném odvětví (vytápění, osvětlení apod.), případně k úrovni činnosti. Snižování spotřeby bývá obvykle spojováno s technologickými změnami, nikoli však vždy, neboť může být rovněž výsledkem lepší organizace a řízení, případně zlepšení ekonomických podmínek v sektoru („netechnické faktory“) (Světový energetický výbor /WEC/, 2008: Světové politiky ke zvýšení energetické účinnosti: Revize a evaluace).</w:t>
      </w:r>
    </w:p>
    <w:p w:rsidR="00A80FB6" w:rsidRPr="00A36519" w:rsidRDefault="00A80FB6" w:rsidP="00A80FB6">
      <w:pPr>
        <w:jc w:val="left"/>
        <w:rPr>
          <w:rFonts w:ascii="Trebuchet MS" w:hAnsi="Trebuchet MS"/>
          <w:b/>
          <w:sz w:val="22"/>
        </w:rPr>
      </w:pPr>
      <w:r>
        <w:rPr>
          <w:rFonts w:ascii="Trebuchet MS" w:hAnsi="Trebuchet MS"/>
          <w:b/>
          <w:sz w:val="22"/>
        </w:rPr>
        <w:t>Energetické plánování</w:t>
      </w:r>
    </w:p>
    <w:p w:rsidR="00A80FB6" w:rsidRPr="00F01726" w:rsidRDefault="00A80FB6" w:rsidP="00F01726">
      <w:pPr>
        <w:rPr>
          <w:rFonts w:ascii="Trebuchet MS" w:hAnsi="Trebuchet MS"/>
          <w:bCs/>
        </w:rPr>
      </w:pPr>
      <w:r>
        <w:rPr>
          <w:rFonts w:ascii="Trebuchet MS" w:hAnsi="Trebuchet MS"/>
        </w:rPr>
        <w:t>Energetické plánování na územní úrovni zajišťuje rámec svázaný s politikami a ekonomickým rozvojem, který zohledňuje specifické místní/regionální vzorce energetických potřeb a zdrojů, jenž slouží jako nástroj ke zmírnění klimatických změn a k vyšší udržitelnosti.</w:t>
      </w:r>
    </w:p>
    <w:p w:rsidR="00A36519" w:rsidRPr="00A36519" w:rsidRDefault="00A36519" w:rsidP="00A36519">
      <w:pPr>
        <w:jc w:val="left"/>
        <w:rPr>
          <w:rFonts w:ascii="Trebuchet MS" w:hAnsi="Trebuchet MS"/>
          <w:b/>
          <w:sz w:val="22"/>
        </w:rPr>
      </w:pPr>
      <w:r>
        <w:rPr>
          <w:rFonts w:ascii="Trebuchet MS" w:hAnsi="Trebuchet MS"/>
          <w:b/>
          <w:sz w:val="22"/>
        </w:rPr>
        <w:t>Soukromé podnikání</w:t>
      </w:r>
    </w:p>
    <w:p w:rsidR="00A36519" w:rsidRPr="006B15AB" w:rsidRDefault="00A36519" w:rsidP="00A36519">
      <w:pPr>
        <w:rPr>
          <w:rFonts w:ascii="Trebuchet MS" w:hAnsi="Trebuchet MS"/>
          <w:bCs/>
        </w:rPr>
      </w:pPr>
      <w:r>
        <w:rPr>
          <w:rFonts w:ascii="Trebuchet MS" w:hAnsi="Trebuchet MS"/>
        </w:rPr>
        <w:t>Soukromé podnikání lze chápat jako způsob myšlení a proces vytváření a rozvíjení ekonomické činnosti, který spočívá v ochotě přijímat rizika, kreativitě anebo inovaci s pevným řízením, v rámci nové nebo stávající organizace (Evropská komise, 2003: Zelená kniha o soukromém podnikání v Evropě).</w:t>
      </w:r>
    </w:p>
    <w:p w:rsidR="00D87BC3" w:rsidRPr="00D87BC3" w:rsidRDefault="00D87BC3" w:rsidP="00B30977">
      <w:pPr>
        <w:jc w:val="left"/>
        <w:rPr>
          <w:rFonts w:ascii="Trebuchet MS" w:hAnsi="Trebuchet MS"/>
          <w:b/>
          <w:sz w:val="22"/>
        </w:rPr>
      </w:pPr>
      <w:r>
        <w:rPr>
          <w:rFonts w:ascii="Trebuchet MS" w:hAnsi="Trebuchet MS"/>
          <w:b/>
          <w:sz w:val="22"/>
        </w:rPr>
        <w:t>Ochrana životního prostředí</w:t>
      </w:r>
    </w:p>
    <w:p w:rsidR="00D87BC3" w:rsidRPr="00D87BC3" w:rsidRDefault="00D87BC3" w:rsidP="00D87BC3">
      <w:pPr>
        <w:rPr>
          <w:rFonts w:ascii="Trebuchet MS" w:hAnsi="Trebuchet MS"/>
          <w:bCs/>
        </w:rPr>
      </w:pPr>
      <w:r>
        <w:rPr>
          <w:rFonts w:ascii="Trebuchet MS" w:hAnsi="Trebuchet MS"/>
        </w:rPr>
        <w:t>Činnost, která zajišťuje udržení rovnováhy v životním prostředí tím, že brání kontaminaci a zhoršování kvality přírodních zdrojů, včetně činností jako jsou: a) změny ve vlastnostech zboží a služeb a změny ve vzorcích spotřeby; b) změny ve výrobních technologiích; c) zpracování nebo likvidace odpadů v separačních ekologických provozovnách; d) recyklace; e) prevence degradace krajiny (Mezinárodní svaz ochrany přírody /IUCN/, 2011: Definice).</w:t>
      </w:r>
    </w:p>
    <w:p w:rsidR="00B30977" w:rsidRPr="00B30977" w:rsidRDefault="00B30977" w:rsidP="00B30977">
      <w:pPr>
        <w:jc w:val="left"/>
        <w:rPr>
          <w:rFonts w:ascii="Trebuchet MS" w:hAnsi="Trebuchet MS"/>
          <w:b/>
          <w:sz w:val="22"/>
        </w:rPr>
      </w:pPr>
      <w:r>
        <w:rPr>
          <w:rFonts w:ascii="Trebuchet MS" w:hAnsi="Trebuchet MS"/>
          <w:b/>
          <w:sz w:val="22"/>
        </w:rPr>
        <w:t>Evropská dopravní síť</w:t>
      </w:r>
    </w:p>
    <w:p w:rsidR="00B30977" w:rsidRDefault="00B30977" w:rsidP="00B30977">
      <w:pPr>
        <w:rPr>
          <w:rFonts w:ascii="Trebuchet MS" w:hAnsi="Trebuchet MS"/>
          <w:bCs/>
        </w:rPr>
      </w:pPr>
      <w:r>
        <w:rPr>
          <w:rFonts w:ascii="Trebuchet MS" w:hAnsi="Trebuchet MS"/>
        </w:rPr>
        <w:t>Evropské dopravní sítě je třeba chápat ve smyslu transevropských dopravních sítí (TEN-T) sestávajících z infrastruktury pro železnice, vnitrozemské vodní cesty, silnice, námořní a leteckou dopravu, jejímž prostřednictvím je zajišťováno bezproblémové fungování vnitřního trhu a posilování hospodářské a sociální soudržnosti (Evropská komise, 2011c: Návrh nařízení Evropského parlamentu a Rady o opatřeních Unie na rozvoj transevropské sítě KOM (2011) 650 final/2). Jedná se o přístup, který má dvě vrstvy a sestává z komplexní sítě, která obsahuje základní a jádrovou vrstvu. Jádrová vrstva je tvořena částmi nejdůležitějšími ze strategického hlediska a představuje páteř multimodální sítě mobility. Soustředí se na prvky TEN-T s nejvyšší evropskou přidanou hodnotou: chybějící přeshraniční spojnice, nejdůležitější úzká místa a multimodální uzly.</w:t>
      </w:r>
    </w:p>
    <w:p w:rsidR="005E7D36" w:rsidRPr="00B87DFC" w:rsidRDefault="005E7D36" w:rsidP="00B30977">
      <w:pPr>
        <w:rPr>
          <w:rFonts w:ascii="Trebuchet MS" w:hAnsi="Trebuchet MS"/>
          <w:bCs/>
        </w:rPr>
      </w:pPr>
    </w:p>
    <w:p w:rsidR="00DC6868" w:rsidRDefault="00DC6868" w:rsidP="00DC6868">
      <w:pPr>
        <w:jc w:val="left"/>
        <w:rPr>
          <w:rFonts w:ascii="Trebuchet MS" w:hAnsi="Trebuchet MS"/>
          <w:b/>
          <w:sz w:val="22"/>
        </w:rPr>
      </w:pPr>
      <w:r>
        <w:rPr>
          <w:rFonts w:ascii="Trebuchet MS" w:hAnsi="Trebuchet MS"/>
          <w:b/>
          <w:sz w:val="22"/>
        </w:rPr>
        <w:t>Funkční městské oblasti</w:t>
      </w:r>
    </w:p>
    <w:p w:rsidR="00DC6868" w:rsidRDefault="00DC6868" w:rsidP="00A36519">
      <w:pPr>
        <w:rPr>
          <w:rFonts w:ascii="Trebuchet MS" w:hAnsi="Trebuchet MS"/>
        </w:rPr>
      </w:pPr>
      <w:r>
        <w:rPr>
          <w:rFonts w:ascii="Trebuchet MS" w:hAnsi="Trebuchet MS"/>
        </w:rPr>
        <w:t xml:space="preserve">Organizace pro hospodářskou spolupráci a rozvoj /OECD/ ve spolupráci s Evropskou komisí a Evropským statistickým úřadem /Eurostat/ vypracovala harmonizovanou definici funkčních městských oblastí, která překonává předchozí omezení související se správními definicemi (OECD, 2012: Nová definice měst: Nový způsob zaměřování městských částí). Podle této definice je funkční městská oblast funkční hospodářskou jednotkou, kterou charakterizují hustě obydlená „městská jádra“ a „okrajové části“, jejichž trh práce je úzce integrován do jader. Tato definice odvozená od trhu práce, problematiky dojíždění a prostorového ohraničení nad rámec správních hranic je relevantní pro řadu tematických oblastí, jako je např. doprava (např. dojíždění, dopravní toky apod.), hospodářský rozvoj (např. trh práce, strategické umístění apod.), životní prostředí (např. kvalita ovzduší/vody, prevence půdní eroze, živelný územní růst měst /tzv. urban sprawl/ apod.), sociální problematika (např. zdravotnictví, sociální bydlení apod.). </w:t>
      </w:r>
    </w:p>
    <w:p w:rsidR="00D87BC3" w:rsidRDefault="00D87BC3" w:rsidP="00DC6868">
      <w:pPr>
        <w:jc w:val="left"/>
        <w:rPr>
          <w:rFonts w:ascii="Trebuchet MS" w:hAnsi="Trebuchet MS"/>
          <w:b/>
          <w:sz w:val="22"/>
        </w:rPr>
      </w:pPr>
      <w:r>
        <w:rPr>
          <w:rFonts w:ascii="Trebuchet MS" w:hAnsi="Trebuchet MS"/>
          <w:b/>
          <w:sz w:val="22"/>
        </w:rPr>
        <w:t>Správa a řízení</w:t>
      </w:r>
    </w:p>
    <w:p w:rsidR="00D87BC3" w:rsidRPr="00C443A8" w:rsidRDefault="00C443A8" w:rsidP="00C443A8">
      <w:pPr>
        <w:rPr>
          <w:rFonts w:ascii="Trebuchet MS" w:hAnsi="Trebuchet MS"/>
        </w:rPr>
      </w:pPr>
      <w:r>
        <w:rPr>
          <w:rFonts w:ascii="Trebuchet MS" w:hAnsi="Trebuchet MS"/>
        </w:rPr>
        <w:t>Správou a řízením se rozumí zachování koordinace a soudržnosti v rámci širokého spektra aktérů s různými záměry a cíli (Pierre, 2000). Těmito aktéry mohou být političtí aktéři a instituce, zájmové skupiny, občanská společnost, nevládní i nadnárodní organizace.</w:t>
      </w:r>
    </w:p>
    <w:p w:rsidR="00DC6868" w:rsidRDefault="00A36519" w:rsidP="00DC6868">
      <w:pPr>
        <w:jc w:val="left"/>
        <w:rPr>
          <w:rFonts w:ascii="Trebuchet MS" w:hAnsi="Trebuchet MS"/>
          <w:b/>
          <w:sz w:val="22"/>
        </w:rPr>
      </w:pPr>
      <w:r>
        <w:rPr>
          <w:rFonts w:ascii="Trebuchet MS" w:hAnsi="Trebuchet MS"/>
          <w:b/>
          <w:sz w:val="22"/>
        </w:rPr>
        <w:t>Inovace</w:t>
      </w:r>
    </w:p>
    <w:p w:rsidR="00A36519" w:rsidRPr="00A07A3C" w:rsidRDefault="00A36519" w:rsidP="00A07A3C">
      <w:pPr>
        <w:rPr>
          <w:rFonts w:ascii="Trebuchet MS" w:hAnsi="Trebuchet MS"/>
        </w:rPr>
      </w:pPr>
      <w:r>
        <w:rPr>
          <w:rFonts w:ascii="Trebuchet MS" w:hAnsi="Trebuchet MS"/>
        </w:rPr>
        <w:t>Inovací se rozumí implementace nového nebo výrazně zdokonaleného výrobku (zboží či služby), popř. procesu, nové prodejní metody či nové organizační metody v obchodní praxi, na pracovišti či v rámci vnějších vztahů (Organizace pro hospodářskou spolupráci a rozvoj /OECD/, Osloský manuál, 2005: Metodika sběru a interpretace dat v oblasti inovací).</w:t>
      </w:r>
    </w:p>
    <w:p w:rsidR="00DC6868" w:rsidRDefault="00DC6868" w:rsidP="00DC6868">
      <w:pPr>
        <w:jc w:val="left"/>
        <w:rPr>
          <w:rFonts w:ascii="Trebuchet MS" w:hAnsi="Trebuchet MS"/>
          <w:b/>
          <w:sz w:val="22"/>
        </w:rPr>
      </w:pPr>
      <w:r>
        <w:rPr>
          <w:rFonts w:ascii="Trebuchet MS" w:hAnsi="Trebuchet MS"/>
          <w:b/>
          <w:sz w:val="22"/>
        </w:rPr>
        <w:t>Systémy a aktéři inovací</w:t>
      </w:r>
    </w:p>
    <w:p w:rsidR="00DC6868" w:rsidRDefault="00DC6868" w:rsidP="00D87BC3">
      <w:pPr>
        <w:rPr>
          <w:rFonts w:ascii="Trebuchet MS" w:hAnsi="Trebuchet MS"/>
          <w:b/>
          <w:sz w:val="22"/>
        </w:rPr>
      </w:pPr>
      <w:r>
        <w:rPr>
          <w:rFonts w:ascii="Trebuchet MS" w:hAnsi="Trebuchet MS"/>
        </w:rPr>
        <w:t xml:space="preserve">Systém inovací je třeba chápat jako </w:t>
      </w:r>
      <w:r>
        <w:rPr>
          <w:rFonts w:ascii="Trebuchet MS" w:hAnsi="Trebuchet MS"/>
          <w:i/>
        </w:rPr>
        <w:t>„síť institucí ve veřejném a soukromém sektoru, jejichž aktivity a</w:t>
      </w:r>
      <w:r>
        <w:rPr>
          <w:rFonts w:ascii="Trebuchet MS" w:hAnsi="Trebuchet MS"/>
        </w:rPr>
        <w:t> vzájemná interakce podněcují, dovážejí, modifikují a rozšiřují nové technologie (Freeman, 1987)“. Mezi aktéry systému inovací patří výzkumný a podnikatelský sektor, politici a veřejné orgány.</w:t>
      </w:r>
    </w:p>
    <w:p w:rsidR="00CE0D24" w:rsidRDefault="00CE0D24" w:rsidP="00CE0D24">
      <w:pPr>
        <w:jc w:val="left"/>
        <w:rPr>
          <w:rFonts w:ascii="Trebuchet MS" w:hAnsi="Trebuchet MS"/>
          <w:b/>
          <w:sz w:val="22"/>
        </w:rPr>
      </w:pPr>
      <w:r>
        <w:rPr>
          <w:rFonts w:ascii="Trebuchet MS" w:hAnsi="Trebuchet MS"/>
          <w:b/>
          <w:sz w:val="22"/>
        </w:rPr>
        <w:t>Integrované řízení ochrany životního prostředí</w:t>
      </w:r>
    </w:p>
    <w:p w:rsidR="00CE0D24" w:rsidRPr="00A07A3C" w:rsidRDefault="00CE0D24" w:rsidP="00A07A3C">
      <w:pPr>
        <w:rPr>
          <w:rFonts w:ascii="Trebuchet MS" w:hAnsi="Trebuchet MS"/>
        </w:rPr>
      </w:pPr>
      <w:r>
        <w:rPr>
          <w:rFonts w:ascii="Trebuchet MS" w:hAnsi="Trebuchet MS"/>
        </w:rPr>
        <w:t>Integrované řízení ochrany životního prostředí znamená komplexní přístup k plánování a řízení přírodních zdrojů, který zahrnuje ekologické, sociální a ekonomické cíle. Bere v úvahu vzájemné vztahy mezi různými subjekty a pracuje s pojmy únosnost, odolnost a udržitelnost.</w:t>
      </w:r>
    </w:p>
    <w:p w:rsidR="008869B1" w:rsidRDefault="008869B1" w:rsidP="008869B1">
      <w:pPr>
        <w:jc w:val="left"/>
        <w:rPr>
          <w:rFonts w:ascii="Trebuchet MS" w:hAnsi="Trebuchet MS"/>
          <w:b/>
          <w:sz w:val="22"/>
        </w:rPr>
      </w:pPr>
      <w:r>
        <w:rPr>
          <w:rFonts w:ascii="Trebuchet MS" w:hAnsi="Trebuchet MS"/>
          <w:b/>
          <w:sz w:val="22"/>
        </w:rPr>
        <w:t>Vazby</w:t>
      </w:r>
    </w:p>
    <w:p w:rsidR="00A36519" w:rsidRDefault="00A36519" w:rsidP="00A36519">
      <w:pPr>
        <w:rPr>
          <w:rFonts w:ascii="Trebuchet MS" w:hAnsi="Trebuchet MS"/>
          <w:bCs/>
        </w:rPr>
      </w:pPr>
      <w:r>
        <w:rPr>
          <w:rFonts w:ascii="Trebuchet MS" w:hAnsi="Trebuchet MS"/>
        </w:rPr>
        <w:t>Inovační aktivity firmy jsou částečně závislé na druhu a struktuře jejích vazeb na zdroje informací, znalostí, technologií, postupů a lidských a finančních zdrojů. Každá vazba spojuje inovativní firmu s ostatními aktéry systému inovací: státními laboratořemi, vysokými školami, útvary pro tvorbu politik, regulátory, konkurenty, dodavateli a zákazníky (UNESCO, 2009: Měření inovací). Je velmi důležité budovat silné vazby mezi všemi subjekty, které v systémech inovací působí. Země, které jsou v čele žebříčku inovací, zlepšily vazby mezi aktéry v oblasti inovací, především v oblasti vědy a vysokoškolského vzdělávání a ve veřejném, soukromém a neziskovém sektoru.</w:t>
      </w:r>
    </w:p>
    <w:p w:rsidR="005E7D36" w:rsidRPr="00A36519" w:rsidRDefault="005E7D36" w:rsidP="00A36519">
      <w:pPr>
        <w:rPr>
          <w:rFonts w:ascii="Trebuchet MS" w:hAnsi="Trebuchet MS"/>
          <w:bCs/>
        </w:rPr>
      </w:pPr>
    </w:p>
    <w:p w:rsidR="00DC6868" w:rsidRPr="00DC6868" w:rsidRDefault="00DC6868" w:rsidP="00DC6868">
      <w:pPr>
        <w:jc w:val="left"/>
        <w:rPr>
          <w:rFonts w:ascii="Trebuchet MS" w:hAnsi="Trebuchet MS"/>
          <w:b/>
          <w:sz w:val="22"/>
        </w:rPr>
      </w:pPr>
      <w:r>
        <w:rPr>
          <w:rFonts w:ascii="Trebuchet MS" w:hAnsi="Trebuchet MS"/>
          <w:b/>
          <w:sz w:val="22"/>
        </w:rPr>
        <w:t xml:space="preserve">Makroregionální strategie </w:t>
      </w:r>
    </w:p>
    <w:p w:rsidR="00DC6868" w:rsidRPr="00B05CAB" w:rsidRDefault="00DC6868" w:rsidP="00DC6868">
      <w:pPr>
        <w:rPr>
          <w:rFonts w:ascii="Trebuchet MS" w:hAnsi="Trebuchet MS"/>
          <w:bCs/>
        </w:rPr>
      </w:pPr>
      <w:r>
        <w:rPr>
          <w:rFonts w:ascii="Trebuchet MS" w:hAnsi="Trebuchet MS"/>
        </w:rPr>
        <w:t>Makroregionální strategie je integrovaný rámec schválený Evropskou radou, který může být podporován mimo jiné z ESIF, určený k řešení společných výzev, kterým čelí vymezené zeměpisné oblasti patřící členským státům a třetím zemím nacházejícím se ve stejné zeměpisné oblasti, které tak těží z posílené spolupráce přispívající k dosažení hospodářské, sociální a územní soudržnosti (podle čl. 2, odst. 31 nařízení o obecných ustanoveních).</w:t>
      </w:r>
    </w:p>
    <w:p w:rsidR="00A80FB6" w:rsidRPr="00DC6868" w:rsidRDefault="00A80FB6" w:rsidP="00A80FB6">
      <w:pPr>
        <w:jc w:val="left"/>
        <w:rPr>
          <w:rFonts w:ascii="Trebuchet MS" w:hAnsi="Trebuchet MS"/>
          <w:b/>
          <w:sz w:val="22"/>
        </w:rPr>
      </w:pPr>
      <w:r>
        <w:rPr>
          <w:rFonts w:ascii="Trebuchet MS" w:hAnsi="Trebuchet MS"/>
          <w:b/>
          <w:sz w:val="22"/>
        </w:rPr>
        <w:t>Plánování mobility</w:t>
      </w:r>
    </w:p>
    <w:p w:rsidR="00A80FB6" w:rsidRPr="00A80FB6" w:rsidRDefault="00A80FB6" w:rsidP="00A80FB6">
      <w:pPr>
        <w:rPr>
          <w:rFonts w:ascii="Trebuchet MS" w:hAnsi="Trebuchet MS"/>
          <w:bCs/>
        </w:rPr>
      </w:pPr>
      <w:r>
        <w:rPr>
          <w:rFonts w:ascii="Trebuchet MS" w:hAnsi="Trebuchet MS"/>
        </w:rPr>
        <w:t>Plánování nízkouhlíkové mobility je třeba chápat jako soubor vzájemně provázaných opatření, jejichž cílem je uspokojit potřeby v oblasti mobility osob a podniků. Jsou výsledkem integrovaného přístupu k plánování a řešení nízkouhlíkových forem dopravy.</w:t>
      </w:r>
    </w:p>
    <w:p w:rsidR="004C5051" w:rsidRPr="00DC6868" w:rsidRDefault="004C5051" w:rsidP="004C5051">
      <w:pPr>
        <w:jc w:val="left"/>
        <w:rPr>
          <w:rFonts w:ascii="Trebuchet MS" w:hAnsi="Trebuchet MS"/>
          <w:b/>
          <w:sz w:val="22"/>
        </w:rPr>
      </w:pPr>
      <w:r>
        <w:rPr>
          <w:rFonts w:ascii="Trebuchet MS" w:hAnsi="Trebuchet MS"/>
          <w:b/>
          <w:sz w:val="22"/>
        </w:rPr>
        <w:t>Multimodální doprava</w:t>
      </w:r>
    </w:p>
    <w:p w:rsidR="004C5051" w:rsidRDefault="004C5051" w:rsidP="004C5051">
      <w:pPr>
        <w:rPr>
          <w:rFonts w:ascii="Trebuchet MS" w:hAnsi="Trebuchet MS"/>
          <w:b/>
          <w:sz w:val="22"/>
        </w:rPr>
      </w:pPr>
      <w:r>
        <w:rPr>
          <w:rFonts w:ascii="Trebuchet MS" w:hAnsi="Trebuchet MS"/>
        </w:rPr>
        <w:t>Multimodální doprava je chápána jako přeprava zboží nejméně dvěma různými druhy dopravy. Kombinovaná doprava je tedy určitým typem multimodální dopravy (v souladu s definicí Evropské konference ministrů dopravy, ECMT). Dopravní řešení šetrná k životnímu prostředí jsou tedy ta, která umožní významné snížení emisí CO</w:t>
      </w:r>
      <w:r>
        <w:rPr>
          <w:rFonts w:ascii="Trebuchet MS" w:hAnsi="Trebuchet MS"/>
          <w:vertAlign w:val="subscript"/>
        </w:rPr>
        <w:t>2</w:t>
      </w:r>
      <w:r>
        <w:rPr>
          <w:rFonts w:ascii="Trebuchet MS" w:hAnsi="Trebuchet MS"/>
        </w:rPr>
        <w:t>, NO</w:t>
      </w:r>
      <w:r>
        <w:rPr>
          <w:rFonts w:ascii="Trebuchet MS" w:hAnsi="Trebuchet MS"/>
          <w:vertAlign w:val="subscript"/>
        </w:rPr>
        <w:t>x</w:t>
      </w:r>
      <w:r>
        <w:rPr>
          <w:rFonts w:ascii="Trebuchet MS" w:hAnsi="Trebuchet MS"/>
        </w:rPr>
        <w:t>, pevných prachových částic, jakož i hluku.</w:t>
      </w:r>
    </w:p>
    <w:p w:rsidR="00CE0D24" w:rsidRPr="00DC6868" w:rsidRDefault="00CE0D24" w:rsidP="00CE0D24">
      <w:pPr>
        <w:jc w:val="left"/>
        <w:rPr>
          <w:rFonts w:ascii="Trebuchet MS" w:hAnsi="Trebuchet MS"/>
          <w:b/>
          <w:sz w:val="22"/>
        </w:rPr>
      </w:pPr>
      <w:r>
        <w:rPr>
          <w:rFonts w:ascii="Trebuchet MS" w:hAnsi="Trebuchet MS"/>
          <w:b/>
          <w:sz w:val="22"/>
        </w:rPr>
        <w:t>Přírodní dědictví a zdroje</w:t>
      </w:r>
    </w:p>
    <w:p w:rsidR="00CE0D24" w:rsidRPr="00A07A3C" w:rsidRDefault="00CE0D24" w:rsidP="00A07A3C">
      <w:pPr>
        <w:rPr>
          <w:rFonts w:ascii="Trebuchet MS" w:hAnsi="Trebuchet MS"/>
        </w:rPr>
      </w:pPr>
      <w:r>
        <w:rPr>
          <w:rFonts w:ascii="Trebuchet MS" w:hAnsi="Trebuchet MS"/>
        </w:rPr>
        <w:t>Za přírodní dědictví jsou považovány přírodní památky, geologické a fyziografické útvary (včetně biotopů) a přírodní lokality, či přesně vymezené přírodní oblasti. (UNESCO, 1972: Úmluva o ochraně světového kulturního a přírodního dědictví UNESCO).</w:t>
      </w:r>
    </w:p>
    <w:p w:rsidR="00CE0D24" w:rsidRPr="00A07A3C" w:rsidRDefault="00CE0D24" w:rsidP="00A07A3C">
      <w:pPr>
        <w:rPr>
          <w:rFonts w:ascii="Trebuchet MS" w:hAnsi="Trebuchet MS"/>
        </w:rPr>
      </w:pPr>
      <w:r>
        <w:rPr>
          <w:rFonts w:ascii="Trebuchet MS" w:hAnsi="Trebuchet MS"/>
        </w:rPr>
        <w:t xml:space="preserve">Přírodní zdroje mají původ v přírodě, běžně se dělí na neobnovitelné zdroje, jako jsou minerály a fosilní paliva, a obnovitelné přírodní zdroje, které šíří či zachovávají život a pokud se jim dostává řádné péče, samy se přirozeně obnovují, např. rostliny a živočichové, ale také půda a voda (IUCN, 2011: Definice). Definice). </w:t>
      </w:r>
    </w:p>
    <w:p w:rsidR="00196534" w:rsidRDefault="00196534" w:rsidP="00196534">
      <w:pPr>
        <w:jc w:val="left"/>
        <w:rPr>
          <w:rFonts w:ascii="Trebuchet MS" w:hAnsi="Trebuchet MS"/>
          <w:b/>
          <w:sz w:val="22"/>
        </w:rPr>
      </w:pPr>
      <w:r>
        <w:rPr>
          <w:rFonts w:ascii="Trebuchet MS" w:hAnsi="Trebuchet MS"/>
          <w:b/>
          <w:sz w:val="22"/>
        </w:rPr>
        <w:t>Periferní region/oblast</w:t>
      </w:r>
    </w:p>
    <w:p w:rsidR="00784D7A" w:rsidRDefault="00D7288F" w:rsidP="00F01726">
      <w:pPr>
        <w:rPr>
          <w:rFonts w:ascii="Trebuchet MS" w:hAnsi="Trebuchet MS"/>
          <w:b/>
          <w:sz w:val="22"/>
        </w:rPr>
      </w:pPr>
      <w:r>
        <w:rPr>
          <w:rFonts w:ascii="Trebuchet MS" w:hAnsi="Trebuchet MS"/>
        </w:rPr>
        <w:t>Periferní region/oblast je třeba chápat jako marginalizované nebo špatně dostupné území. Jedná se o protiklad jádrového regionu. Periferní region má z většiny venkovský charakter s jen několika málo hlavními centry urbanizace. Většina obyvatelstva je zaměstnána v primární produkci a ve srovnání s jádrovými regiony je v periferních regionech méně pracovních příležitostí a nižší úroveň mezd. V důsledku těchto skutečností jsou tyto regiony často postiženy odchodem obyvatel z regionu.</w:t>
      </w:r>
    </w:p>
    <w:p w:rsidR="00DC6868" w:rsidRDefault="00DC6868" w:rsidP="00DC6868">
      <w:pPr>
        <w:jc w:val="left"/>
        <w:rPr>
          <w:rFonts w:ascii="Trebuchet MS" w:hAnsi="Trebuchet MS"/>
          <w:b/>
          <w:sz w:val="22"/>
        </w:rPr>
      </w:pPr>
      <w:r>
        <w:rPr>
          <w:rFonts w:ascii="Trebuchet MS" w:hAnsi="Trebuchet MS"/>
          <w:b/>
          <w:sz w:val="22"/>
        </w:rPr>
        <w:t xml:space="preserve">Pilotní akce </w:t>
      </w:r>
    </w:p>
    <w:p w:rsidR="00A033BD" w:rsidRPr="001F40EA" w:rsidRDefault="00A033BD" w:rsidP="001F40EA">
      <w:pPr>
        <w:rPr>
          <w:rFonts w:ascii="Trebuchet MS" w:hAnsi="Trebuchet MS"/>
          <w:bCs/>
        </w:rPr>
      </w:pPr>
      <w:r>
        <w:rPr>
          <w:rFonts w:ascii="Trebuchet MS" w:hAnsi="Trebuchet MS"/>
        </w:rPr>
        <w:t xml:space="preserve">Pilotní akcí se rozumí implementace projektů experimentální povahy za účelem testování, vyhodnocování anebo prokázání jejich proveditelnosti a následného využití těchto výsledků a předání získaných zkušeností jiným institucím a na jiná území. </w:t>
      </w:r>
    </w:p>
    <w:p w:rsidR="00A80FB6" w:rsidRPr="006C459B" w:rsidRDefault="00A80FB6" w:rsidP="00A80FB6">
      <w:pPr>
        <w:jc w:val="left"/>
        <w:rPr>
          <w:rFonts w:ascii="Trebuchet MS" w:hAnsi="Trebuchet MS"/>
          <w:b/>
          <w:sz w:val="22"/>
        </w:rPr>
      </w:pPr>
      <w:r>
        <w:rPr>
          <w:rFonts w:ascii="Trebuchet MS" w:hAnsi="Trebuchet MS"/>
          <w:b/>
          <w:sz w:val="22"/>
        </w:rPr>
        <w:t>Veřejná infrastruktura</w:t>
      </w:r>
    </w:p>
    <w:p w:rsidR="00A80FB6" w:rsidRDefault="00A80FB6" w:rsidP="00A80FB6">
      <w:pPr>
        <w:rPr>
          <w:rFonts w:ascii="Trebuchet MS" w:hAnsi="Trebuchet MS"/>
          <w:bCs/>
        </w:rPr>
      </w:pPr>
      <w:r>
        <w:rPr>
          <w:rFonts w:ascii="Trebuchet MS" w:hAnsi="Trebuchet MS"/>
        </w:rPr>
        <w:t>Veřejná infrastruktura zahrnuje infrastrukturu, která je ve vlastnictví veřejnosti anebo je určena k veřejnému užívání, včetně veřejných budov.</w:t>
      </w:r>
    </w:p>
    <w:p w:rsidR="005E7D36" w:rsidRPr="00A80FB6" w:rsidRDefault="005E7D36" w:rsidP="00A80FB6">
      <w:pPr>
        <w:rPr>
          <w:rFonts w:ascii="Trebuchet MS" w:hAnsi="Trebuchet MS"/>
          <w:bCs/>
        </w:rPr>
      </w:pPr>
    </w:p>
    <w:p w:rsidR="008869B1" w:rsidRDefault="008869B1" w:rsidP="008869B1">
      <w:pPr>
        <w:jc w:val="left"/>
        <w:rPr>
          <w:rFonts w:ascii="Trebuchet MS" w:hAnsi="Trebuchet MS"/>
          <w:b/>
          <w:sz w:val="22"/>
        </w:rPr>
      </w:pPr>
      <w:r>
        <w:rPr>
          <w:rFonts w:ascii="Trebuchet MS" w:hAnsi="Trebuchet MS"/>
          <w:b/>
          <w:sz w:val="22"/>
        </w:rPr>
        <w:t>Regionální aktéři</w:t>
      </w:r>
    </w:p>
    <w:p w:rsidR="006E7065" w:rsidRDefault="006E7065" w:rsidP="006E7065">
      <w:pPr>
        <w:rPr>
          <w:rFonts w:ascii="Trebuchet MS" w:hAnsi="Trebuchet MS"/>
        </w:rPr>
      </w:pPr>
      <w:r>
        <w:rPr>
          <w:rFonts w:ascii="Trebuchet MS" w:hAnsi="Trebuchet MS"/>
        </w:rPr>
        <w:t>Regionální aktéři jsou všechny hlavní zúčastněné strany působící na regionální úrovni v konkrétní tematické oblasti bez ohledu na jejich právní postavení. Patří mezi ně jak veřejný, tak soukromý sektor. Tyto sektory představují různé typy subjektů, např. orgány státní správy, poskytovatele a provozovatele infrastruktury, zájmové skupiny, nevládní organizace, výzkumná střediska, vzdělávací zařízení, podniky včetně malých a středních podniků atd.</w:t>
      </w:r>
    </w:p>
    <w:p w:rsidR="00B30977" w:rsidRDefault="00B30977" w:rsidP="00B30977">
      <w:pPr>
        <w:jc w:val="left"/>
        <w:rPr>
          <w:rFonts w:ascii="Trebuchet MS" w:hAnsi="Trebuchet MS"/>
          <w:b/>
          <w:sz w:val="22"/>
        </w:rPr>
      </w:pPr>
      <w:r>
        <w:rPr>
          <w:rFonts w:ascii="Trebuchet MS" w:hAnsi="Trebuchet MS"/>
          <w:b/>
          <w:sz w:val="22"/>
        </w:rPr>
        <w:t>Systém regionální osobní dopravy</w:t>
      </w:r>
    </w:p>
    <w:p w:rsidR="00B30977" w:rsidRPr="00B30977" w:rsidRDefault="00B30977" w:rsidP="00B30977">
      <w:pPr>
        <w:rPr>
          <w:rFonts w:ascii="Trebuchet MS" w:hAnsi="Trebuchet MS"/>
        </w:rPr>
      </w:pPr>
      <w:r>
        <w:rPr>
          <w:rFonts w:ascii="Trebuchet MS" w:hAnsi="Trebuchet MS"/>
        </w:rPr>
        <w:t>Systém regionální osobní dopravy může být definován jako kombinace dopravních prostředků, infrastruktury a činností, které umožňují pohyb a uspokojují přepravní poptávku osob v dané oblasti.</w:t>
      </w:r>
    </w:p>
    <w:p w:rsidR="00C333EC" w:rsidRDefault="00C333EC" w:rsidP="00C333EC">
      <w:pPr>
        <w:jc w:val="left"/>
        <w:rPr>
          <w:rFonts w:ascii="Trebuchet MS" w:hAnsi="Trebuchet MS"/>
          <w:b/>
          <w:sz w:val="22"/>
        </w:rPr>
      </w:pPr>
      <w:r>
        <w:rPr>
          <w:rFonts w:ascii="Trebuchet MS" w:hAnsi="Trebuchet MS"/>
          <w:b/>
          <w:sz w:val="22"/>
        </w:rPr>
        <w:t>Obnovitelné zdroje energie</w:t>
      </w:r>
    </w:p>
    <w:p w:rsidR="00C333EC" w:rsidRDefault="00C333EC" w:rsidP="00C333EC">
      <w:pPr>
        <w:rPr>
          <w:rFonts w:ascii="Trebuchet MS" w:hAnsi="Trebuchet MS"/>
        </w:rPr>
      </w:pPr>
      <w:r>
        <w:rPr>
          <w:rFonts w:ascii="Trebuchet MS" w:hAnsi="Trebuchet MS"/>
        </w:rPr>
        <w:t>Obnovitelné zdroje energie jsou různorodou skupinou technologií, které získávají energii z existujících energetických toků, z probíhajících přírodních procesů, jako jsou například sluneční záření, vítr, tekoucí voda, biologické procesy a geotermální tepelné toky.</w:t>
      </w:r>
    </w:p>
    <w:p w:rsidR="00DC6868" w:rsidRPr="00DC6868" w:rsidRDefault="00DC6868" w:rsidP="00DC6868">
      <w:pPr>
        <w:jc w:val="left"/>
        <w:rPr>
          <w:rFonts w:ascii="Trebuchet MS" w:hAnsi="Trebuchet MS"/>
          <w:b/>
          <w:sz w:val="22"/>
        </w:rPr>
      </w:pPr>
      <w:r>
        <w:rPr>
          <w:rFonts w:ascii="Trebuchet MS" w:hAnsi="Trebuchet MS"/>
          <w:b/>
          <w:sz w:val="22"/>
        </w:rPr>
        <w:t>Strategie inteligentní specializace</w:t>
      </w:r>
    </w:p>
    <w:p w:rsidR="00DC6868" w:rsidRPr="00E52AA7" w:rsidRDefault="00DC6868" w:rsidP="00DC6868">
      <w:pPr>
        <w:rPr>
          <w:rFonts w:ascii="Trebuchet MS" w:hAnsi="Trebuchet MS"/>
          <w:bCs/>
        </w:rPr>
      </w:pPr>
      <w:r>
        <w:rPr>
          <w:rFonts w:ascii="Trebuchet MS" w:hAnsi="Trebuchet MS"/>
        </w:rPr>
        <w:t>Strategií inteligentní specializace se rozumí národní nebo regionální inovační strategie, které stanovují priority s cílem vytvořit konkurenční výhodu tím, že budou rozvíjet výzkum a inovace a využívat jejich předností k uspokojování potřeb podniků tak, aby byly schopny zvládat nové příležitosti a situace na trhu soudržným způsobem a zároveň zabránily duplikaci a fragmentaci úsilí; strategie inteligentní specializace mohou mít formu národního či regionálního strategického rámce pro výzkum a inovace nebo mohou být jeho součástí (podle čl. 2, odst. 3 nařízení o obecných ustanoveních).</w:t>
      </w:r>
    </w:p>
    <w:p w:rsidR="00A36519" w:rsidRPr="00A36519" w:rsidRDefault="00A36519" w:rsidP="00A36519">
      <w:pPr>
        <w:jc w:val="left"/>
        <w:rPr>
          <w:rFonts w:ascii="Trebuchet MS" w:hAnsi="Trebuchet MS"/>
          <w:b/>
          <w:sz w:val="22"/>
        </w:rPr>
      </w:pPr>
      <w:r>
        <w:rPr>
          <w:rFonts w:ascii="Trebuchet MS" w:hAnsi="Trebuchet MS"/>
          <w:b/>
          <w:sz w:val="22"/>
        </w:rPr>
        <w:t>Sociální inovace</w:t>
      </w:r>
    </w:p>
    <w:p w:rsidR="00DC6868" w:rsidRDefault="00A36519" w:rsidP="00A36519">
      <w:pPr>
        <w:rPr>
          <w:rFonts w:ascii="Trebuchet MS" w:hAnsi="Trebuchet MS"/>
          <w:bCs/>
        </w:rPr>
      </w:pPr>
      <w:r>
        <w:rPr>
          <w:rFonts w:ascii="Trebuchet MS" w:eastAsiaTheme="minorHAnsi" w:hAnsi="Trebuchet MS" w:cstheme="minorBidi"/>
        </w:rPr>
        <w:t>Sociální inovace jsou nové myšlenky (produkty, služby a modely), které současně uspokojují sociální potřeby (účinněji než alternativy) a vytvářejí nové sociální vztahy nebo možnosti spolupráce (Murray a kol., 2010: Open Book of Social Innovation). Oblasti činností zahrnují mimo jiné integraci pracovních sil, sociální služby, vzdělávání a výzkum, kulturu a rekreaci, zdraví atd.</w:t>
      </w:r>
    </w:p>
    <w:p w:rsidR="00CC35B1" w:rsidRPr="00CC35B1" w:rsidRDefault="00D87BC3" w:rsidP="00DC6868">
      <w:pPr>
        <w:jc w:val="left"/>
        <w:rPr>
          <w:rFonts w:ascii="Trebuchet MS" w:hAnsi="Trebuchet MS"/>
          <w:b/>
          <w:sz w:val="22"/>
        </w:rPr>
      </w:pPr>
      <w:r>
        <w:rPr>
          <w:rFonts w:ascii="Trebuchet MS" w:hAnsi="Trebuchet MS"/>
          <w:b/>
          <w:sz w:val="22"/>
        </w:rPr>
        <w:t>Udržitelný rozvoj</w:t>
      </w:r>
    </w:p>
    <w:p w:rsidR="00D87BC3" w:rsidRPr="00CC35B1" w:rsidRDefault="00CC35B1" w:rsidP="00CC35B1">
      <w:pPr>
        <w:rPr>
          <w:rFonts w:ascii="Trebuchet MS" w:eastAsiaTheme="minorHAnsi" w:hAnsi="Trebuchet MS" w:cstheme="minorBidi"/>
          <w:bCs/>
        </w:rPr>
      </w:pPr>
      <w:r>
        <w:rPr>
          <w:rFonts w:ascii="Trebuchet MS" w:eastAsiaTheme="minorHAnsi" w:hAnsi="Trebuchet MS" w:cstheme="minorBidi"/>
        </w:rPr>
        <w:t>Udržitelným rozvojem se míní využívání přírodních zdrojů takovým způsobem, aby nedošlo k nevratnému poškození struktury a funkce ekosystému, ztrátě nenahraditelných památek nebo snížení odolnosti ekosystému. Vedle sociálních a ekonomických zájmů je třeba brát v potaz i zájmy environmentální, aby se zabránilo nenahraditelné ztrátě přírodních památek, funkcí nebo procesů a aby využívání obnovitelných zdrojů mělo dlouhodobý a spolehlivý přínos. Zajištění takového udržitelného rozvoje si vyžádá přijetí významných opatření k obnovení struktury a funkce ekosystému tam, kde je jeho přínos již omezený nebo oslabený nebo kde je ohrožena odolnost ekosystému (IUCN, 2011: Definice).</w:t>
      </w:r>
    </w:p>
    <w:p w:rsidR="009A224B" w:rsidRPr="00DC6868" w:rsidRDefault="009A224B" w:rsidP="00352F2A">
      <w:pPr>
        <w:keepNext/>
        <w:jc w:val="left"/>
        <w:rPr>
          <w:rFonts w:ascii="Trebuchet MS" w:hAnsi="Trebuchet MS"/>
          <w:b/>
          <w:sz w:val="22"/>
        </w:rPr>
      </w:pPr>
      <w:bookmarkStart w:id="0" w:name="_GoBack"/>
      <w:r>
        <w:rPr>
          <w:rFonts w:ascii="Trebuchet MS" w:hAnsi="Trebuchet MS"/>
          <w:b/>
          <w:sz w:val="22"/>
        </w:rPr>
        <w:lastRenderedPageBreak/>
        <w:t xml:space="preserve">Udržitelné využívání </w:t>
      </w:r>
    </w:p>
    <w:bookmarkEnd w:id="0"/>
    <w:p w:rsidR="009A224B" w:rsidRPr="00EE1B6E" w:rsidRDefault="009A224B" w:rsidP="009A224B">
      <w:pPr>
        <w:rPr>
          <w:rFonts w:ascii="Trebuchet MS" w:hAnsi="Trebuchet MS"/>
          <w:bCs/>
        </w:rPr>
      </w:pPr>
      <w:r>
        <w:rPr>
          <w:rFonts w:ascii="Trebuchet MS" w:hAnsi="Trebuchet MS"/>
        </w:rPr>
        <w:t xml:space="preserve">Využívání zdrojů respektující zásady udržitelného rozvoje, zejména využívání biosféry současnými generacemi při zachování jejího potenciálního přínosu (prospěchu) pro budoucí generace anebo neklesající tendence hospodářského růstu a rozvoje, který by mohl být narušen vyčerpáváním přírodních zdrojů a degradací životního prostředí (OECD, 2003: glosář). </w:t>
      </w:r>
    </w:p>
    <w:p w:rsidR="008869B1" w:rsidRPr="00DC6868" w:rsidRDefault="00AB22ED" w:rsidP="00DC6868">
      <w:pPr>
        <w:jc w:val="left"/>
        <w:rPr>
          <w:rFonts w:ascii="Trebuchet MS" w:hAnsi="Trebuchet MS"/>
          <w:b/>
          <w:sz w:val="22"/>
        </w:rPr>
      </w:pPr>
      <w:r>
        <w:rPr>
          <w:rFonts w:ascii="Trebuchet MS" w:hAnsi="Trebuchet MS"/>
          <w:b/>
          <w:sz w:val="22"/>
        </w:rPr>
        <w:t>Nadnárodní</w:t>
      </w:r>
    </w:p>
    <w:p w:rsidR="00AB22ED" w:rsidRPr="00B30977" w:rsidRDefault="00AB22ED" w:rsidP="00F01726">
      <w:pPr>
        <w:spacing w:after="0"/>
        <w:rPr>
          <w:rFonts w:ascii="Trebuchet MS" w:hAnsi="Trebuchet MS"/>
          <w:bCs/>
        </w:rPr>
      </w:pPr>
      <w:r>
        <w:rPr>
          <w:rFonts w:ascii="Trebuchet MS" w:hAnsi="Trebuchet MS"/>
        </w:rPr>
        <w:t>Pod pojmem „nadnárodní“ se rozumí integrace těchto zásad:</w:t>
      </w:r>
    </w:p>
    <w:p w:rsidR="00AB22ED" w:rsidRPr="005312FC" w:rsidRDefault="00AB22ED" w:rsidP="00F01726">
      <w:pPr>
        <w:pStyle w:val="Odstavecseseznamem"/>
        <w:numPr>
          <w:ilvl w:val="0"/>
          <w:numId w:val="4"/>
        </w:numPr>
        <w:spacing w:line="280" w:lineRule="atLeast"/>
        <w:rPr>
          <w:rFonts w:ascii="Trebuchet MS" w:hAnsi="Trebuchet MS"/>
          <w:bCs/>
          <w:sz w:val="20"/>
        </w:rPr>
      </w:pPr>
      <w:r>
        <w:rPr>
          <w:rFonts w:ascii="Trebuchet MS" w:hAnsi="Trebuchet MS"/>
          <w:sz w:val="20"/>
        </w:rPr>
        <w:t>zajištění společné přípravy, řízení, financování a implementace projektů;</w:t>
      </w:r>
    </w:p>
    <w:p w:rsidR="00AB22ED" w:rsidRPr="005312FC" w:rsidRDefault="00AB22ED" w:rsidP="00F01726">
      <w:pPr>
        <w:pStyle w:val="Odstavecseseznamem"/>
        <w:numPr>
          <w:ilvl w:val="0"/>
          <w:numId w:val="4"/>
        </w:numPr>
        <w:spacing w:line="280" w:lineRule="atLeast"/>
        <w:rPr>
          <w:rFonts w:ascii="Trebuchet MS" w:hAnsi="Trebuchet MS"/>
          <w:bCs/>
          <w:sz w:val="20"/>
        </w:rPr>
      </w:pPr>
      <w:r>
        <w:rPr>
          <w:rFonts w:ascii="Trebuchet MS" w:hAnsi="Trebuchet MS"/>
          <w:sz w:val="20"/>
        </w:rPr>
        <w:t xml:space="preserve">projednávání témat společného zájmu a společného prospěchu; </w:t>
      </w:r>
    </w:p>
    <w:p w:rsidR="00AB22ED" w:rsidRPr="005312FC" w:rsidRDefault="00AB22ED" w:rsidP="00F01726">
      <w:pPr>
        <w:pStyle w:val="Odstavecseseznamem"/>
        <w:numPr>
          <w:ilvl w:val="0"/>
          <w:numId w:val="4"/>
        </w:numPr>
        <w:spacing w:after="240" w:line="280" w:lineRule="atLeast"/>
        <w:ind w:left="714" w:hanging="357"/>
        <w:rPr>
          <w:rFonts w:ascii="Trebuchet MS" w:hAnsi="Trebuchet MS"/>
          <w:bCs/>
          <w:sz w:val="20"/>
        </w:rPr>
      </w:pPr>
      <w:r>
        <w:rPr>
          <w:rFonts w:ascii="Trebuchet MS" w:hAnsi="Trebuchet MS"/>
          <w:sz w:val="20"/>
        </w:rPr>
        <w:t>získávání přenositelných výsledků, které mohou být použity různými aktéry a na různých územích.</w:t>
      </w:r>
    </w:p>
    <w:p w:rsidR="00DC6868" w:rsidRDefault="00DC6868" w:rsidP="00DC6868">
      <w:pPr>
        <w:jc w:val="left"/>
        <w:rPr>
          <w:rFonts w:ascii="Trebuchet MS" w:hAnsi="Trebuchet MS"/>
          <w:b/>
          <w:sz w:val="22"/>
        </w:rPr>
      </w:pPr>
      <w:r>
        <w:rPr>
          <w:rFonts w:ascii="Trebuchet MS" w:hAnsi="Trebuchet MS"/>
          <w:b/>
          <w:sz w:val="22"/>
        </w:rPr>
        <w:t>Cílové skupiny</w:t>
      </w:r>
    </w:p>
    <w:p w:rsidR="00DC6868" w:rsidRPr="00B30977" w:rsidRDefault="00DC6868" w:rsidP="00B30977">
      <w:pPr>
        <w:rPr>
          <w:rFonts w:ascii="Trebuchet MS" w:hAnsi="Trebuchet MS"/>
          <w:bCs/>
        </w:rPr>
      </w:pPr>
      <w:r>
        <w:rPr>
          <w:rFonts w:ascii="Trebuchet MS" w:hAnsi="Trebuchet MS"/>
        </w:rPr>
        <w:t>Cílové skupiny zahrnují jednotlivce anebo organizace přímo pozitivně ovlivněné činnostmi a jejich výsledky. Aby mohly cílové skupiny výsledky projektu využívat ke svému vlastnímu prospěchu, nemusí nutně obdržet finanční podporu nebo být dokonce do činnosti přímo zapojeny.</w:t>
      </w:r>
    </w:p>
    <w:p w:rsidR="00580583" w:rsidRPr="00580583" w:rsidRDefault="00580583" w:rsidP="00580583">
      <w:pPr>
        <w:jc w:val="left"/>
        <w:rPr>
          <w:rFonts w:ascii="Trebuchet MS" w:hAnsi="Trebuchet MS"/>
          <w:b/>
          <w:sz w:val="22"/>
        </w:rPr>
      </w:pPr>
      <w:r>
        <w:rPr>
          <w:rFonts w:ascii="Trebuchet MS" w:hAnsi="Trebuchet MS"/>
          <w:b/>
          <w:sz w:val="22"/>
        </w:rPr>
        <w:t>Zranitelnost</w:t>
      </w:r>
    </w:p>
    <w:p w:rsidR="00F017AE" w:rsidRPr="00580583" w:rsidRDefault="00580583" w:rsidP="00580583">
      <w:pPr>
        <w:rPr>
          <w:rFonts w:ascii="Trebuchet MS" w:hAnsi="Trebuchet MS"/>
          <w:bCs/>
        </w:rPr>
      </w:pPr>
      <w:r>
        <w:rPr>
          <w:rFonts w:ascii="Trebuchet MS" w:hAnsi="Trebuchet MS"/>
        </w:rPr>
        <w:t>Soubor podmínek a procesů, které vyplývají z fyzických, sociálních, ekonomických a environmentálních faktorů a naznačují náchylnost společenství vůči dopadu rizik (IUCN, 2011: Definice).</w:t>
      </w:r>
    </w:p>
    <w:sectPr w:rsidR="00F017AE" w:rsidRPr="00580583" w:rsidSect="00EE40A3">
      <w:footerReference w:type="default" r:id="rId9"/>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69A6" w:rsidRDefault="009C69A6" w:rsidP="002F1E75">
      <w:pPr>
        <w:spacing w:after="0" w:line="240" w:lineRule="auto"/>
      </w:pPr>
      <w:r>
        <w:separator/>
      </w:r>
    </w:p>
  </w:endnote>
  <w:endnote w:type="continuationSeparator" w:id="0">
    <w:p w:rsidR="009C69A6" w:rsidRDefault="009C69A6" w:rsidP="002F1E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3"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644534"/>
      <w:docPartObj>
        <w:docPartGallery w:val="Page Numbers (Bottom of Page)"/>
        <w:docPartUnique/>
      </w:docPartObj>
    </w:sdtPr>
    <w:sdtEndPr>
      <w:rPr>
        <w:rFonts w:ascii="Trebuchet MS" w:hAnsi="Trebuchet MS"/>
        <w:sz w:val="18"/>
      </w:rPr>
    </w:sdtEndPr>
    <w:sdtContent>
      <w:p w:rsidR="002F1E75" w:rsidRPr="00EE40A3" w:rsidRDefault="002F1E75">
        <w:pPr>
          <w:pStyle w:val="Zpat"/>
          <w:jc w:val="right"/>
          <w:rPr>
            <w:rFonts w:ascii="Trebuchet MS" w:hAnsi="Trebuchet MS"/>
            <w:sz w:val="18"/>
          </w:rPr>
        </w:pPr>
        <w:r w:rsidRPr="00EE40A3">
          <w:rPr>
            <w:rFonts w:ascii="Trebuchet MS" w:hAnsi="Trebuchet MS"/>
            <w:sz w:val="18"/>
          </w:rPr>
          <w:fldChar w:fldCharType="begin"/>
        </w:r>
        <w:r w:rsidRPr="00EE40A3">
          <w:rPr>
            <w:rFonts w:ascii="Trebuchet MS" w:hAnsi="Trebuchet MS"/>
            <w:sz w:val="18"/>
          </w:rPr>
          <w:instrText>PAGE   \* MERGEFORMAT</w:instrText>
        </w:r>
        <w:r w:rsidRPr="00EE40A3">
          <w:rPr>
            <w:rFonts w:ascii="Trebuchet MS" w:hAnsi="Trebuchet MS"/>
            <w:sz w:val="18"/>
          </w:rPr>
          <w:fldChar w:fldCharType="separate"/>
        </w:r>
        <w:r w:rsidR="00352F2A">
          <w:rPr>
            <w:rFonts w:ascii="Trebuchet MS" w:hAnsi="Trebuchet MS"/>
            <w:noProof/>
            <w:sz w:val="18"/>
          </w:rPr>
          <w:t>6</w:t>
        </w:r>
        <w:r w:rsidRPr="00EE40A3">
          <w:rPr>
            <w:rFonts w:ascii="Trebuchet MS" w:hAnsi="Trebuchet MS"/>
            <w:sz w:val="18"/>
          </w:rPr>
          <w:fldChar w:fldCharType="end"/>
        </w:r>
      </w:p>
    </w:sdtContent>
  </w:sdt>
  <w:p w:rsidR="002F1E75" w:rsidRDefault="002F1E75">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69A6" w:rsidRDefault="009C69A6" w:rsidP="002F1E75">
      <w:pPr>
        <w:spacing w:after="0" w:line="240" w:lineRule="auto"/>
      </w:pPr>
      <w:r>
        <w:separator/>
      </w:r>
    </w:p>
  </w:footnote>
  <w:footnote w:type="continuationSeparator" w:id="0">
    <w:p w:rsidR="009C69A6" w:rsidRDefault="009C69A6" w:rsidP="002F1E75">
      <w:pPr>
        <w:spacing w:after="0" w:line="240" w:lineRule="auto"/>
      </w:pPr>
      <w:r>
        <w:continuationSeparator/>
      </w:r>
    </w:p>
  </w:footnote>
  <w:footnote w:id="1">
    <w:p w:rsidR="00B30977" w:rsidRPr="009C7FB6" w:rsidRDefault="00B30977" w:rsidP="00B30977">
      <w:pPr>
        <w:pStyle w:val="Textpoznpodarou"/>
        <w:rPr>
          <w:lang w:val="fr-BE"/>
        </w:rPr>
      </w:pPr>
      <w:r>
        <w:rPr>
          <w:rStyle w:val="Znakapoznpodarou"/>
        </w:rPr>
        <w:footnoteRef/>
      </w:r>
      <w:r>
        <w:t xml:space="preserve"> </w:t>
      </w:r>
      <w:r>
        <w:rPr>
          <w:rFonts w:ascii="Trebuchet MS" w:hAnsi="Trebuchet MS"/>
        </w:rPr>
        <w:t xml:space="preserve">UNESCO: </w:t>
      </w:r>
      <w:hyperlink r:id="rId1">
        <w:r>
          <w:rPr>
            <w:rStyle w:val="Hypertextovodkaz"/>
            <w:rFonts w:ascii="Trebuchet MS" w:hAnsi="Trebuchet MS"/>
          </w:rPr>
          <w:t>http://www.unesco.org/new/en/cairo/culture/tangible-cultural-heritage/</w:t>
        </w:r>
      </w:hyperlink>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AF177B"/>
    <w:multiLevelType w:val="hybridMultilevel"/>
    <w:tmpl w:val="1652A120"/>
    <w:lvl w:ilvl="0" w:tplc="AFA28910">
      <w:start w:val="1"/>
      <w:numFmt w:val="bullet"/>
      <w:lvlText w:val=""/>
      <w:lvlJc w:val="left"/>
      <w:pPr>
        <w:tabs>
          <w:tab w:val="num" w:pos="567"/>
        </w:tabs>
        <w:ind w:left="567" w:hanging="283"/>
      </w:pPr>
      <w:rPr>
        <w:rFonts w:ascii="Symbol" w:hAnsi="Symbol" w:hint="default"/>
      </w:rPr>
    </w:lvl>
    <w:lvl w:ilvl="1" w:tplc="8194A09E">
      <w:start w:val="1"/>
      <w:numFmt w:val="bullet"/>
      <w:lvlText w:val="-"/>
      <w:lvlJc w:val="left"/>
      <w:pPr>
        <w:ind w:left="1440" w:hanging="360"/>
      </w:pPr>
      <w:rPr>
        <w:rFonts w:ascii="Arial" w:eastAsia="Times New Roman" w:hAnsi="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nsid w:val="2FC261F9"/>
    <w:multiLevelType w:val="hybridMultilevel"/>
    <w:tmpl w:val="B172096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nsid w:val="59E86E04"/>
    <w:multiLevelType w:val="hybridMultilevel"/>
    <w:tmpl w:val="C750D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5D7A521F"/>
    <w:multiLevelType w:val="multilevel"/>
    <w:tmpl w:val="431CD876"/>
    <w:lvl w:ilvl="0">
      <w:start w:val="1"/>
      <w:numFmt w:val="decimal"/>
      <w:pStyle w:val="Nadpis1"/>
      <w:lvlText w:val="Section %1."/>
      <w:lvlJc w:val="left"/>
      <w:pPr>
        <w:ind w:left="709" w:hanging="709"/>
      </w:pPr>
      <w:rPr>
        <w:rFonts w:hint="default"/>
      </w:rPr>
    </w:lvl>
    <w:lvl w:ilvl="1">
      <w:start w:val="1"/>
      <w:numFmt w:val="decimal"/>
      <w:pStyle w:val="Nadpis2"/>
      <w:lvlText w:val="%1.%2"/>
      <w:lvlJc w:val="left"/>
      <w:pPr>
        <w:ind w:left="576" w:hanging="576"/>
      </w:pPr>
      <w:rPr>
        <w:rFonts w:hint="default"/>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3CC9"/>
    <w:rsid w:val="00034831"/>
    <w:rsid w:val="000A1CAE"/>
    <w:rsid w:val="000F02CB"/>
    <w:rsid w:val="00182C3F"/>
    <w:rsid w:val="00196534"/>
    <w:rsid w:val="001D6300"/>
    <w:rsid w:val="001F40EA"/>
    <w:rsid w:val="00231487"/>
    <w:rsid w:val="00275A07"/>
    <w:rsid w:val="002D6FBB"/>
    <w:rsid w:val="002F1E75"/>
    <w:rsid w:val="00316DEB"/>
    <w:rsid w:val="0035286C"/>
    <w:rsid w:val="00352F2A"/>
    <w:rsid w:val="00367DA0"/>
    <w:rsid w:val="0038333E"/>
    <w:rsid w:val="00391BE0"/>
    <w:rsid w:val="00395A74"/>
    <w:rsid w:val="003B0EC1"/>
    <w:rsid w:val="00424CA8"/>
    <w:rsid w:val="00433C93"/>
    <w:rsid w:val="00457DBD"/>
    <w:rsid w:val="00494AA1"/>
    <w:rsid w:val="004A79CE"/>
    <w:rsid w:val="004B7A8D"/>
    <w:rsid w:val="004C5051"/>
    <w:rsid w:val="004F26A5"/>
    <w:rsid w:val="005118BA"/>
    <w:rsid w:val="00514B83"/>
    <w:rsid w:val="005177A2"/>
    <w:rsid w:val="005312FC"/>
    <w:rsid w:val="00580583"/>
    <w:rsid w:val="005A77F7"/>
    <w:rsid w:val="005E7D36"/>
    <w:rsid w:val="005F2F48"/>
    <w:rsid w:val="006B15AB"/>
    <w:rsid w:val="006C459B"/>
    <w:rsid w:val="006E7065"/>
    <w:rsid w:val="006F00AE"/>
    <w:rsid w:val="00776BAA"/>
    <w:rsid w:val="00781A0A"/>
    <w:rsid w:val="00784D7A"/>
    <w:rsid w:val="007E2CC2"/>
    <w:rsid w:val="007F6362"/>
    <w:rsid w:val="008412AF"/>
    <w:rsid w:val="008457E5"/>
    <w:rsid w:val="00866D63"/>
    <w:rsid w:val="008869B1"/>
    <w:rsid w:val="00894D35"/>
    <w:rsid w:val="008C5E69"/>
    <w:rsid w:val="008E2210"/>
    <w:rsid w:val="00921C61"/>
    <w:rsid w:val="00932127"/>
    <w:rsid w:val="00987ED5"/>
    <w:rsid w:val="00994957"/>
    <w:rsid w:val="009A224B"/>
    <w:rsid w:val="009B2874"/>
    <w:rsid w:val="009C69A6"/>
    <w:rsid w:val="009D670B"/>
    <w:rsid w:val="00A033BD"/>
    <w:rsid w:val="00A07A3C"/>
    <w:rsid w:val="00A26B86"/>
    <w:rsid w:val="00A36519"/>
    <w:rsid w:val="00A372D6"/>
    <w:rsid w:val="00A42290"/>
    <w:rsid w:val="00A80FB6"/>
    <w:rsid w:val="00AA31A7"/>
    <w:rsid w:val="00AB22ED"/>
    <w:rsid w:val="00AC5281"/>
    <w:rsid w:val="00AD6BAB"/>
    <w:rsid w:val="00AD6CDB"/>
    <w:rsid w:val="00AF0216"/>
    <w:rsid w:val="00B05CAB"/>
    <w:rsid w:val="00B30977"/>
    <w:rsid w:val="00B313C4"/>
    <w:rsid w:val="00B3382B"/>
    <w:rsid w:val="00B35D61"/>
    <w:rsid w:val="00B40F9C"/>
    <w:rsid w:val="00B42F07"/>
    <w:rsid w:val="00B45489"/>
    <w:rsid w:val="00B85E22"/>
    <w:rsid w:val="00B87DFC"/>
    <w:rsid w:val="00BA147D"/>
    <w:rsid w:val="00BF2131"/>
    <w:rsid w:val="00C21C9B"/>
    <w:rsid w:val="00C33018"/>
    <w:rsid w:val="00C333EC"/>
    <w:rsid w:val="00C443A8"/>
    <w:rsid w:val="00C60578"/>
    <w:rsid w:val="00CA7761"/>
    <w:rsid w:val="00CC35B1"/>
    <w:rsid w:val="00CE0D24"/>
    <w:rsid w:val="00D12CA7"/>
    <w:rsid w:val="00D21624"/>
    <w:rsid w:val="00D44C5C"/>
    <w:rsid w:val="00D67A10"/>
    <w:rsid w:val="00D7288F"/>
    <w:rsid w:val="00D87A43"/>
    <w:rsid w:val="00D87BC3"/>
    <w:rsid w:val="00DB6080"/>
    <w:rsid w:val="00DC1332"/>
    <w:rsid w:val="00DC6868"/>
    <w:rsid w:val="00DD220B"/>
    <w:rsid w:val="00E31A5D"/>
    <w:rsid w:val="00E52AA7"/>
    <w:rsid w:val="00E81F0B"/>
    <w:rsid w:val="00EA5043"/>
    <w:rsid w:val="00EA5478"/>
    <w:rsid w:val="00EB2E7F"/>
    <w:rsid w:val="00EC032A"/>
    <w:rsid w:val="00EE40A3"/>
    <w:rsid w:val="00F01726"/>
    <w:rsid w:val="00F017AE"/>
    <w:rsid w:val="00F0204D"/>
    <w:rsid w:val="00F2277C"/>
    <w:rsid w:val="00F23CC9"/>
    <w:rsid w:val="00F34FB2"/>
    <w:rsid w:val="00F67C72"/>
    <w:rsid w:val="00F86D1C"/>
    <w:rsid w:val="00FF23BB"/>
    <w:rsid w:val="00FF7DEA"/>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CA75B7-743E-4742-8B8F-5868521D8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cs-CZ" w:bidi="cs-CZ"/>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23CC9"/>
    <w:pPr>
      <w:spacing w:after="240" w:line="280" w:lineRule="atLeast"/>
      <w:jc w:val="both"/>
    </w:pPr>
    <w:rPr>
      <w:rFonts w:ascii="Arial" w:eastAsia="Times New Roman" w:hAnsi="Arial" w:cs="Times New Roman"/>
      <w:sz w:val="20"/>
      <w:szCs w:val="20"/>
    </w:rPr>
  </w:style>
  <w:style w:type="paragraph" w:styleId="Nadpis1">
    <w:name w:val="heading 1"/>
    <w:basedOn w:val="Normln"/>
    <w:next w:val="Normln"/>
    <w:link w:val="Nadpis1Char"/>
    <w:qFormat/>
    <w:rsid w:val="00F23CC9"/>
    <w:pPr>
      <w:keepNext/>
      <w:pageBreakBefore/>
      <w:numPr>
        <w:numId w:val="1"/>
      </w:numPr>
      <w:tabs>
        <w:tab w:val="left" w:pos="1418"/>
      </w:tabs>
      <w:spacing w:after="420"/>
      <w:ind w:left="1418" w:hanging="1418"/>
      <w:jc w:val="left"/>
      <w:outlineLvl w:val="0"/>
    </w:pPr>
    <w:rPr>
      <w:rFonts w:ascii="Arial Narrow" w:hAnsi="Arial Narrow" w:cs="Arial"/>
      <w:color w:val="0060A9"/>
      <w:kern w:val="32"/>
      <w:sz w:val="32"/>
      <w:szCs w:val="32"/>
    </w:rPr>
  </w:style>
  <w:style w:type="paragraph" w:styleId="Nadpis2">
    <w:name w:val="heading 2"/>
    <w:basedOn w:val="Normln"/>
    <w:next w:val="Normln"/>
    <w:link w:val="Nadpis2Char"/>
    <w:qFormat/>
    <w:rsid w:val="00F23CC9"/>
    <w:pPr>
      <w:keepNext/>
      <w:numPr>
        <w:ilvl w:val="1"/>
        <w:numId w:val="1"/>
      </w:numPr>
      <w:tabs>
        <w:tab w:val="left" w:pos="709"/>
      </w:tabs>
      <w:spacing w:before="480"/>
      <w:ind w:left="709" w:hanging="709"/>
      <w:jc w:val="left"/>
      <w:outlineLvl w:val="1"/>
    </w:pPr>
    <w:rPr>
      <w:rFonts w:ascii="Arial Narrow" w:hAnsi="Arial Narrow"/>
      <w:snapToGrid w:val="0"/>
      <w:sz w:val="28"/>
    </w:rPr>
  </w:style>
  <w:style w:type="paragraph" w:styleId="Nadpis3">
    <w:name w:val="heading 3"/>
    <w:basedOn w:val="Normln"/>
    <w:next w:val="Normln"/>
    <w:link w:val="Nadpis3Char"/>
    <w:qFormat/>
    <w:rsid w:val="00F23CC9"/>
    <w:pPr>
      <w:keepNext/>
      <w:numPr>
        <w:ilvl w:val="2"/>
        <w:numId w:val="1"/>
      </w:numPr>
      <w:tabs>
        <w:tab w:val="left" w:pos="709"/>
      </w:tabs>
      <w:spacing w:before="400"/>
      <w:ind w:left="709" w:hanging="709"/>
      <w:jc w:val="left"/>
      <w:outlineLvl w:val="2"/>
    </w:pPr>
    <w:rPr>
      <w:rFonts w:ascii="Arial Narrow" w:hAnsi="Arial Narrow"/>
      <w:sz w:val="26"/>
    </w:rPr>
  </w:style>
  <w:style w:type="paragraph" w:styleId="Nadpis4">
    <w:name w:val="heading 4"/>
    <w:basedOn w:val="Normln"/>
    <w:next w:val="Normln"/>
    <w:link w:val="Nadpis4Char"/>
    <w:qFormat/>
    <w:rsid w:val="00F23CC9"/>
    <w:pPr>
      <w:keepNext/>
      <w:numPr>
        <w:ilvl w:val="3"/>
        <w:numId w:val="1"/>
      </w:numPr>
      <w:spacing w:before="240" w:line="240" w:lineRule="auto"/>
      <w:ind w:left="709" w:hanging="709"/>
      <w:jc w:val="left"/>
      <w:outlineLvl w:val="3"/>
    </w:pPr>
    <w:rPr>
      <w:rFonts w:ascii="Arial Narrow" w:hAnsi="Arial Narrow"/>
      <w:sz w:val="24"/>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F23CC9"/>
    <w:rPr>
      <w:rFonts w:ascii="Arial Narrow" w:eastAsia="Times New Roman" w:hAnsi="Arial Narrow" w:cs="Arial"/>
      <w:color w:val="0060A9"/>
      <w:kern w:val="32"/>
      <w:sz w:val="32"/>
      <w:szCs w:val="32"/>
      <w:lang w:val="cs-CZ" w:eastAsia="cs-CZ"/>
    </w:rPr>
  </w:style>
  <w:style w:type="character" w:customStyle="1" w:styleId="Nadpis2Char">
    <w:name w:val="Nadpis 2 Char"/>
    <w:basedOn w:val="Standardnpsmoodstavce"/>
    <w:link w:val="Nadpis2"/>
    <w:rsid w:val="00F23CC9"/>
    <w:rPr>
      <w:rFonts w:ascii="Arial Narrow" w:eastAsia="Times New Roman" w:hAnsi="Arial Narrow" w:cs="Times New Roman"/>
      <w:snapToGrid w:val="0"/>
      <w:sz w:val="28"/>
      <w:szCs w:val="20"/>
      <w:lang w:val="cs-CZ" w:eastAsia="cs-CZ"/>
    </w:rPr>
  </w:style>
  <w:style w:type="character" w:customStyle="1" w:styleId="Nadpis3Char">
    <w:name w:val="Nadpis 3 Char"/>
    <w:basedOn w:val="Standardnpsmoodstavce"/>
    <w:link w:val="Nadpis3"/>
    <w:rsid w:val="00F23CC9"/>
    <w:rPr>
      <w:rFonts w:ascii="Arial Narrow" w:eastAsia="Times New Roman" w:hAnsi="Arial Narrow" w:cs="Times New Roman"/>
      <w:sz w:val="26"/>
      <w:szCs w:val="20"/>
      <w:lang w:val="cs-CZ" w:eastAsia="cs-CZ"/>
    </w:rPr>
  </w:style>
  <w:style w:type="character" w:customStyle="1" w:styleId="Nadpis4Char">
    <w:name w:val="Nadpis 4 Char"/>
    <w:basedOn w:val="Standardnpsmoodstavce"/>
    <w:link w:val="Nadpis4"/>
    <w:rsid w:val="00F23CC9"/>
    <w:rPr>
      <w:rFonts w:ascii="Arial Narrow" w:eastAsia="Times New Roman" w:hAnsi="Arial Narrow" w:cs="Times New Roman"/>
      <w:sz w:val="24"/>
      <w:szCs w:val="28"/>
      <w:lang w:val="cs-CZ" w:eastAsia="cs-CZ"/>
    </w:rPr>
  </w:style>
  <w:style w:type="paragraph" w:styleId="Textbubliny">
    <w:name w:val="Balloon Text"/>
    <w:basedOn w:val="Normln"/>
    <w:link w:val="TextbublinyChar"/>
    <w:uiPriority w:val="99"/>
    <w:semiHidden/>
    <w:unhideWhenUsed/>
    <w:rsid w:val="00316DEB"/>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16DEB"/>
    <w:rPr>
      <w:rFonts w:ascii="Tahoma" w:eastAsia="Times New Roman" w:hAnsi="Tahoma" w:cs="Tahoma"/>
      <w:sz w:val="16"/>
      <w:szCs w:val="16"/>
      <w:lang w:val="cs-CZ" w:eastAsia="cs-CZ"/>
    </w:rPr>
  </w:style>
  <w:style w:type="character" w:styleId="Odkaznakoment">
    <w:name w:val="annotation reference"/>
    <w:basedOn w:val="Standardnpsmoodstavce"/>
    <w:uiPriority w:val="99"/>
    <w:semiHidden/>
    <w:unhideWhenUsed/>
    <w:rsid w:val="00316DEB"/>
    <w:rPr>
      <w:sz w:val="16"/>
      <w:szCs w:val="16"/>
    </w:rPr>
  </w:style>
  <w:style w:type="paragraph" w:styleId="Textkomente">
    <w:name w:val="annotation text"/>
    <w:basedOn w:val="Normln"/>
    <w:link w:val="TextkomenteChar"/>
    <w:uiPriority w:val="99"/>
    <w:semiHidden/>
    <w:unhideWhenUsed/>
    <w:rsid w:val="00316DEB"/>
    <w:pPr>
      <w:spacing w:line="240" w:lineRule="auto"/>
    </w:pPr>
  </w:style>
  <w:style w:type="character" w:customStyle="1" w:styleId="TextkomenteChar">
    <w:name w:val="Text komentáře Char"/>
    <w:basedOn w:val="Standardnpsmoodstavce"/>
    <w:link w:val="Textkomente"/>
    <w:uiPriority w:val="99"/>
    <w:semiHidden/>
    <w:rsid w:val="00316DEB"/>
    <w:rPr>
      <w:rFonts w:ascii="Arial" w:eastAsia="Times New Roman" w:hAnsi="Arial" w:cs="Times New Roman"/>
      <w:sz w:val="20"/>
      <w:szCs w:val="20"/>
      <w:lang w:val="cs-CZ" w:eastAsia="cs-CZ"/>
    </w:rPr>
  </w:style>
  <w:style w:type="paragraph" w:styleId="Pedmtkomente">
    <w:name w:val="annotation subject"/>
    <w:basedOn w:val="Textkomente"/>
    <w:next w:val="Textkomente"/>
    <w:link w:val="PedmtkomenteChar"/>
    <w:uiPriority w:val="99"/>
    <w:semiHidden/>
    <w:unhideWhenUsed/>
    <w:rsid w:val="00316DEB"/>
    <w:rPr>
      <w:b/>
      <w:bCs/>
    </w:rPr>
  </w:style>
  <w:style w:type="character" w:customStyle="1" w:styleId="PedmtkomenteChar">
    <w:name w:val="Předmět komentáře Char"/>
    <w:basedOn w:val="TextkomenteChar"/>
    <w:link w:val="Pedmtkomente"/>
    <w:uiPriority w:val="99"/>
    <w:semiHidden/>
    <w:rsid w:val="00316DEB"/>
    <w:rPr>
      <w:rFonts w:ascii="Arial" w:eastAsia="Times New Roman" w:hAnsi="Arial" w:cs="Times New Roman"/>
      <w:b/>
      <w:bCs/>
      <w:sz w:val="20"/>
      <w:szCs w:val="20"/>
      <w:lang w:val="cs-CZ" w:eastAsia="cs-CZ"/>
    </w:rPr>
  </w:style>
  <w:style w:type="character" w:styleId="Hypertextovodkaz">
    <w:name w:val="Hyperlink"/>
    <w:basedOn w:val="Standardnpsmoodstavce"/>
    <w:uiPriority w:val="99"/>
    <w:unhideWhenUsed/>
    <w:rsid w:val="00FF23BB"/>
    <w:rPr>
      <w:color w:val="0000FF" w:themeColor="hyperlink"/>
      <w:u w:val="single"/>
    </w:rPr>
  </w:style>
  <w:style w:type="paragraph" w:styleId="Zhlav">
    <w:name w:val="header"/>
    <w:basedOn w:val="Normln"/>
    <w:link w:val="ZhlavChar"/>
    <w:uiPriority w:val="99"/>
    <w:unhideWhenUsed/>
    <w:rsid w:val="002F1E75"/>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F1E75"/>
    <w:rPr>
      <w:rFonts w:ascii="Arial" w:eastAsia="Times New Roman" w:hAnsi="Arial" w:cs="Times New Roman"/>
      <w:sz w:val="20"/>
      <w:szCs w:val="20"/>
      <w:lang w:val="cs-CZ" w:eastAsia="cs-CZ"/>
    </w:rPr>
  </w:style>
  <w:style w:type="paragraph" w:styleId="Zpat">
    <w:name w:val="footer"/>
    <w:basedOn w:val="Normln"/>
    <w:link w:val="ZpatChar"/>
    <w:uiPriority w:val="99"/>
    <w:unhideWhenUsed/>
    <w:rsid w:val="002F1E75"/>
    <w:pPr>
      <w:tabs>
        <w:tab w:val="center" w:pos="4536"/>
        <w:tab w:val="right" w:pos="9072"/>
      </w:tabs>
      <w:spacing w:after="0" w:line="240" w:lineRule="auto"/>
    </w:pPr>
  </w:style>
  <w:style w:type="character" w:customStyle="1" w:styleId="ZpatChar">
    <w:name w:val="Zápatí Char"/>
    <w:basedOn w:val="Standardnpsmoodstavce"/>
    <w:link w:val="Zpat"/>
    <w:uiPriority w:val="99"/>
    <w:rsid w:val="002F1E75"/>
    <w:rPr>
      <w:rFonts w:ascii="Arial" w:eastAsia="Times New Roman" w:hAnsi="Arial" w:cs="Times New Roman"/>
      <w:sz w:val="20"/>
      <w:szCs w:val="20"/>
      <w:lang w:val="cs-CZ" w:eastAsia="cs-CZ"/>
    </w:rPr>
  </w:style>
  <w:style w:type="paragraph" w:styleId="Textpoznpodarou">
    <w:name w:val="footnote text"/>
    <w:basedOn w:val="Normln"/>
    <w:link w:val="TextpoznpodarouChar"/>
    <w:uiPriority w:val="99"/>
    <w:semiHidden/>
    <w:unhideWhenUsed/>
    <w:rsid w:val="00AD6BAB"/>
    <w:pPr>
      <w:spacing w:after="0" w:line="240" w:lineRule="auto"/>
    </w:pPr>
  </w:style>
  <w:style w:type="character" w:customStyle="1" w:styleId="TextpoznpodarouChar">
    <w:name w:val="Text pozn. pod čarou Char"/>
    <w:basedOn w:val="Standardnpsmoodstavce"/>
    <w:link w:val="Textpoznpodarou"/>
    <w:uiPriority w:val="99"/>
    <w:semiHidden/>
    <w:rsid w:val="00AD6BAB"/>
    <w:rPr>
      <w:rFonts w:ascii="Arial" w:eastAsia="Times New Roman" w:hAnsi="Arial" w:cs="Times New Roman"/>
      <w:sz w:val="20"/>
      <w:szCs w:val="20"/>
      <w:lang w:val="cs-CZ" w:eastAsia="cs-CZ"/>
    </w:rPr>
  </w:style>
  <w:style w:type="character" w:styleId="Znakapoznpodarou">
    <w:name w:val="footnote reference"/>
    <w:basedOn w:val="Standardnpsmoodstavce"/>
    <w:uiPriority w:val="99"/>
    <w:semiHidden/>
    <w:unhideWhenUsed/>
    <w:rsid w:val="00AD6BAB"/>
    <w:rPr>
      <w:vertAlign w:val="superscript"/>
    </w:rPr>
  </w:style>
  <w:style w:type="paragraph" w:styleId="Odstavecseseznamem">
    <w:name w:val="List Paragraph"/>
    <w:basedOn w:val="Normln"/>
    <w:uiPriority w:val="99"/>
    <w:qFormat/>
    <w:rsid w:val="00AB22ED"/>
    <w:pPr>
      <w:spacing w:after="0" w:line="240" w:lineRule="auto"/>
      <w:ind w:left="720"/>
      <w:jc w:val="left"/>
    </w:pPr>
    <w:rPr>
      <w:rFonts w:ascii="Calibri" w:hAnsi="Calibri"/>
      <w:sz w:val="22"/>
      <w:szCs w:val="22"/>
    </w:rPr>
  </w:style>
  <w:style w:type="paragraph" w:customStyle="1" w:styleId="Default">
    <w:name w:val="Default"/>
    <w:rsid w:val="00A26B86"/>
    <w:pPr>
      <w:autoSpaceDE w:val="0"/>
      <w:autoSpaceDN w:val="0"/>
      <w:adjustRightInd w:val="0"/>
      <w:spacing w:after="0" w:line="240" w:lineRule="auto"/>
    </w:pPr>
    <w:rPr>
      <w:rFonts w:ascii="Arial" w:hAnsi="Arial" w:cs="Arial"/>
      <w:color w:val="000000"/>
      <w:sz w:val="24"/>
      <w:szCs w:val="24"/>
    </w:rPr>
  </w:style>
  <w:style w:type="paragraph" w:customStyle="1" w:styleId="Text1">
    <w:name w:val="Text 1"/>
    <w:basedOn w:val="Normln"/>
    <w:link w:val="Text1Char"/>
    <w:rsid w:val="00C333EC"/>
    <w:pPr>
      <w:spacing w:line="240" w:lineRule="auto"/>
      <w:ind w:left="482"/>
    </w:pPr>
    <w:rPr>
      <w:rFonts w:ascii="Times New Roman" w:hAnsi="Times New Roman"/>
      <w:sz w:val="24"/>
    </w:rPr>
  </w:style>
  <w:style w:type="character" w:customStyle="1" w:styleId="Text1Char">
    <w:name w:val="Text 1 Char"/>
    <w:link w:val="Text1"/>
    <w:locked/>
    <w:rsid w:val="00C333EC"/>
    <w:rPr>
      <w:rFonts w:ascii="Times New Roman" w:eastAsia="Times New Roman" w:hAnsi="Times New Roman" w:cs="Times New Roman"/>
      <w:sz w:val="24"/>
      <w:szCs w:val="20"/>
      <w:lang w:val="cs-CZ"/>
    </w:rPr>
  </w:style>
  <w:style w:type="character" w:styleId="Sledovanodkaz">
    <w:name w:val="FollowedHyperlink"/>
    <w:basedOn w:val="Standardnpsmoodstavce"/>
    <w:uiPriority w:val="99"/>
    <w:semiHidden/>
    <w:unhideWhenUsed/>
    <w:rsid w:val="003B0EC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0740984">
      <w:bodyDiv w:val="1"/>
      <w:marLeft w:val="0"/>
      <w:marRight w:val="0"/>
      <w:marTop w:val="0"/>
      <w:marBottom w:val="0"/>
      <w:divBdr>
        <w:top w:val="none" w:sz="0" w:space="0" w:color="auto"/>
        <w:left w:val="none" w:sz="0" w:space="0" w:color="auto"/>
        <w:bottom w:val="none" w:sz="0" w:space="0" w:color="auto"/>
        <w:right w:val="none" w:sz="0" w:space="0" w:color="auto"/>
      </w:divBdr>
    </w:div>
    <w:div w:id="1934509725">
      <w:bodyDiv w:val="1"/>
      <w:marLeft w:val="0"/>
      <w:marRight w:val="0"/>
      <w:marTop w:val="0"/>
      <w:marBottom w:val="0"/>
      <w:divBdr>
        <w:top w:val="none" w:sz="0" w:space="0" w:color="auto"/>
        <w:left w:val="none" w:sz="0" w:space="0" w:color="auto"/>
        <w:bottom w:val="none" w:sz="0" w:space="0" w:color="auto"/>
        <w:right w:val="none" w:sz="0" w:space="0" w:color="auto"/>
      </w:divBdr>
      <w:divsChild>
        <w:div w:id="1695615300">
          <w:marLeft w:val="0"/>
          <w:marRight w:val="0"/>
          <w:marTop w:val="0"/>
          <w:marBottom w:val="0"/>
          <w:divBdr>
            <w:top w:val="none" w:sz="0" w:space="0" w:color="auto"/>
            <w:left w:val="none" w:sz="0" w:space="0" w:color="auto"/>
            <w:bottom w:val="none" w:sz="0" w:space="0" w:color="auto"/>
            <w:right w:val="none" w:sz="0" w:space="0" w:color="auto"/>
          </w:divBdr>
        </w:div>
        <w:div w:id="1955089184">
          <w:marLeft w:val="0"/>
          <w:marRight w:val="0"/>
          <w:marTop w:val="0"/>
          <w:marBottom w:val="0"/>
          <w:divBdr>
            <w:top w:val="none" w:sz="0" w:space="0" w:color="auto"/>
            <w:left w:val="none" w:sz="0" w:space="0" w:color="auto"/>
            <w:bottom w:val="none" w:sz="0" w:space="0" w:color="auto"/>
            <w:right w:val="none" w:sz="0" w:space="0" w:color="auto"/>
          </w:divBdr>
        </w:div>
        <w:div w:id="959842008">
          <w:marLeft w:val="0"/>
          <w:marRight w:val="0"/>
          <w:marTop w:val="0"/>
          <w:marBottom w:val="0"/>
          <w:divBdr>
            <w:top w:val="none" w:sz="0" w:space="0" w:color="auto"/>
            <w:left w:val="none" w:sz="0" w:space="0" w:color="auto"/>
            <w:bottom w:val="none" w:sz="0" w:space="0" w:color="auto"/>
            <w:right w:val="none" w:sz="0" w:space="0" w:color="auto"/>
          </w:divBdr>
        </w:div>
        <w:div w:id="346179879">
          <w:marLeft w:val="0"/>
          <w:marRight w:val="0"/>
          <w:marTop w:val="0"/>
          <w:marBottom w:val="0"/>
          <w:divBdr>
            <w:top w:val="none" w:sz="0" w:space="0" w:color="auto"/>
            <w:left w:val="none" w:sz="0" w:space="0" w:color="auto"/>
            <w:bottom w:val="none" w:sz="0" w:space="0" w:color="auto"/>
            <w:right w:val="none" w:sz="0" w:space="0" w:color="auto"/>
          </w:divBdr>
        </w:div>
        <w:div w:id="1993873280">
          <w:marLeft w:val="0"/>
          <w:marRight w:val="0"/>
          <w:marTop w:val="0"/>
          <w:marBottom w:val="0"/>
          <w:divBdr>
            <w:top w:val="none" w:sz="0" w:space="0" w:color="auto"/>
            <w:left w:val="none" w:sz="0" w:space="0" w:color="auto"/>
            <w:bottom w:val="none" w:sz="0" w:space="0" w:color="auto"/>
            <w:right w:val="none" w:sz="0" w:space="0" w:color="auto"/>
          </w:divBdr>
        </w:div>
        <w:div w:id="474613134">
          <w:marLeft w:val="0"/>
          <w:marRight w:val="0"/>
          <w:marTop w:val="0"/>
          <w:marBottom w:val="0"/>
          <w:divBdr>
            <w:top w:val="none" w:sz="0" w:space="0" w:color="auto"/>
            <w:left w:val="none" w:sz="0" w:space="0" w:color="auto"/>
            <w:bottom w:val="none" w:sz="0" w:space="0" w:color="auto"/>
            <w:right w:val="none" w:sz="0" w:space="0" w:color="auto"/>
          </w:divBdr>
        </w:div>
        <w:div w:id="422532185">
          <w:marLeft w:val="0"/>
          <w:marRight w:val="0"/>
          <w:marTop w:val="0"/>
          <w:marBottom w:val="0"/>
          <w:divBdr>
            <w:top w:val="none" w:sz="0" w:space="0" w:color="auto"/>
            <w:left w:val="none" w:sz="0" w:space="0" w:color="auto"/>
            <w:bottom w:val="none" w:sz="0" w:space="0" w:color="auto"/>
            <w:right w:val="none" w:sz="0" w:space="0" w:color="auto"/>
          </w:divBdr>
        </w:div>
        <w:div w:id="1755862389">
          <w:marLeft w:val="0"/>
          <w:marRight w:val="0"/>
          <w:marTop w:val="0"/>
          <w:marBottom w:val="0"/>
          <w:divBdr>
            <w:top w:val="none" w:sz="0" w:space="0" w:color="auto"/>
            <w:left w:val="none" w:sz="0" w:space="0" w:color="auto"/>
            <w:bottom w:val="none" w:sz="0" w:space="0" w:color="auto"/>
            <w:right w:val="none" w:sz="0" w:space="0" w:color="auto"/>
          </w:divBdr>
        </w:div>
        <w:div w:id="2594126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unesco.org/new/en/cairo/culture/tangible-cultural-heritage/"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59C705-98BF-4ECC-9B48-418CE4D47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2132</Words>
  <Characters>12585</Characters>
  <Application>Microsoft Office Word</Application>
  <DocSecurity>0</DocSecurity>
  <Lines>104</Lines>
  <Paragraphs>29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Schönerklee-Grasser Monika</dc:creator>
  <cp:lastModifiedBy>Roman Varga</cp:lastModifiedBy>
  <cp:revision>14</cp:revision>
  <cp:lastPrinted>2013-11-08T11:21:00Z</cp:lastPrinted>
  <dcterms:created xsi:type="dcterms:W3CDTF">2014-02-12T07:40:00Z</dcterms:created>
  <dcterms:modified xsi:type="dcterms:W3CDTF">2014-03-17T14:51:00Z</dcterms:modified>
</cp:coreProperties>
</file>